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B95966" w14:textId="3B26EB97" w:rsidR="00EB55E6" w:rsidRPr="009C60AC" w:rsidRDefault="00CF6E12" w:rsidP="00B45A0E">
      <w:pPr>
        <w:pStyle w:val="Heading3"/>
        <w:rPr>
          <w:sz w:val="24"/>
        </w:rPr>
      </w:pPr>
      <w:r w:rsidRPr="009C60AC">
        <w:rPr>
          <w:sz w:val="24"/>
        </w:rPr>
        <w:t xml:space="preserve">Le Projet </w:t>
      </w:r>
      <w:r w:rsidR="00EB55E6" w:rsidRPr="009C60AC">
        <w:rPr>
          <w:sz w:val="24"/>
        </w:rPr>
        <w:t>Sphère</w:t>
      </w:r>
      <w:r w:rsidRPr="009C60AC">
        <w:rPr>
          <w:sz w:val="24"/>
        </w:rPr>
        <w:t> : tour d’horizon</w:t>
      </w:r>
    </w:p>
    <w:p w14:paraId="1BD53EB7" w14:textId="1D3710DF" w:rsidR="003918D7" w:rsidRDefault="003918D7" w:rsidP="005848E9">
      <w:pPr>
        <w:spacing w:before="160"/>
      </w:pPr>
      <w:r>
        <w:rPr>
          <w:bCs w:val="0"/>
        </w:rPr>
        <w:t>Le Projet Sphère est une initiative à but non lucratif rassemblant un vaste panorama d</w:t>
      </w:r>
      <w:r w:rsidR="00994220">
        <w:rPr>
          <w:bCs w:val="0"/>
        </w:rPr>
        <w:t>’</w:t>
      </w:r>
      <w:r>
        <w:rPr>
          <w:bCs w:val="0"/>
        </w:rPr>
        <w:t>agences humanitaires. Il entend contribuer à amélio</w:t>
      </w:r>
      <w:bookmarkStart w:id="0" w:name="_GoBack"/>
      <w:bookmarkEnd w:id="0"/>
      <w:r>
        <w:rPr>
          <w:bCs w:val="0"/>
        </w:rPr>
        <w:t>rer la qualité de l</w:t>
      </w:r>
      <w:r w:rsidR="00994220">
        <w:rPr>
          <w:bCs w:val="0"/>
        </w:rPr>
        <w:t>’</w:t>
      </w:r>
      <w:r>
        <w:rPr>
          <w:bCs w:val="0"/>
        </w:rPr>
        <w:t>a</w:t>
      </w:r>
      <w:r w:rsidR="00994220">
        <w:rPr>
          <w:bCs w:val="0"/>
        </w:rPr>
        <w:t>ssistance</w:t>
      </w:r>
      <w:r>
        <w:rPr>
          <w:bCs w:val="0"/>
        </w:rPr>
        <w:t xml:space="preserve"> aux personnes touchées par une catastrophe ou un conflit</w:t>
      </w:r>
      <w:r w:rsidR="00994220">
        <w:rPr>
          <w:bCs w:val="0"/>
        </w:rPr>
        <w:t xml:space="preserve"> armé</w:t>
      </w:r>
      <w:r>
        <w:rPr>
          <w:bCs w:val="0"/>
        </w:rPr>
        <w:t xml:space="preserve">, ainsi que la redevabilité des agences humanitaires et des États vis-à-vis de leurs mandants, de leurs bailleurs de fonds et des populations </w:t>
      </w:r>
      <w:r w:rsidR="00EB55E6">
        <w:rPr>
          <w:bCs w:val="0"/>
        </w:rPr>
        <w:t>affectées</w:t>
      </w:r>
      <w:r>
        <w:rPr>
          <w:bCs w:val="0"/>
        </w:rPr>
        <w:t>.</w:t>
      </w:r>
    </w:p>
    <w:p w14:paraId="5ED3B072" w14:textId="2C5FEE3D" w:rsidR="003918D7" w:rsidRDefault="003918D7" w:rsidP="003918D7">
      <w:r>
        <w:rPr>
          <w:bCs w:val="0"/>
        </w:rPr>
        <w:t xml:space="preserve">Le Projet Sphère détermine et promeut des standards minimums que la communauté humanitaire mondiale </w:t>
      </w:r>
      <w:r w:rsidR="00994220">
        <w:rPr>
          <w:bCs w:val="0"/>
        </w:rPr>
        <w:t xml:space="preserve">applique </w:t>
      </w:r>
      <w:r>
        <w:rPr>
          <w:bCs w:val="0"/>
        </w:rPr>
        <w:t>lorsqu</w:t>
      </w:r>
      <w:r w:rsidR="00994220">
        <w:rPr>
          <w:bCs w:val="0"/>
        </w:rPr>
        <w:t>’</w:t>
      </w:r>
      <w:r>
        <w:rPr>
          <w:bCs w:val="0"/>
        </w:rPr>
        <w:t>elle réagit au sort des personnes touchées par une catastrophe ou un conflit</w:t>
      </w:r>
      <w:r w:rsidR="00994220">
        <w:rPr>
          <w:bCs w:val="0"/>
        </w:rPr>
        <w:t xml:space="preserve"> armé</w:t>
      </w:r>
      <w:r>
        <w:rPr>
          <w:bCs w:val="0"/>
        </w:rPr>
        <w:t>. Ces standards, qui couvrent des secteurs humanitaire</w:t>
      </w:r>
      <w:r w:rsidR="009E7D03">
        <w:rPr>
          <w:bCs w:val="0"/>
        </w:rPr>
        <w:t>s</w:t>
      </w:r>
      <w:r>
        <w:rPr>
          <w:bCs w:val="0"/>
        </w:rPr>
        <w:t xml:space="preserve"> visant à sauver des vies ainsi que les principes communs dans lesquels ils sont ancrés, sont repris dans le manuel Sphère : </w:t>
      </w:r>
      <w:r w:rsidR="00525040">
        <w:rPr>
          <w:bCs w:val="0"/>
        </w:rPr>
        <w:t>« </w:t>
      </w:r>
      <w:r>
        <w:rPr>
          <w:bCs w:val="0"/>
        </w:rPr>
        <w:t>La Charte humanitaire et les standards minimums de l</w:t>
      </w:r>
      <w:r w:rsidR="00994220">
        <w:rPr>
          <w:bCs w:val="0"/>
        </w:rPr>
        <w:t>’</w:t>
      </w:r>
      <w:r>
        <w:rPr>
          <w:bCs w:val="0"/>
        </w:rPr>
        <w:t>intervention humanitaire »</w:t>
      </w:r>
      <w:proofErr w:type="gramStart"/>
      <w:r>
        <w:rPr>
          <w:bCs w:val="0"/>
        </w:rPr>
        <w:t>.</w:t>
      </w:r>
      <w:r w:rsidR="00A3052D">
        <w:rPr>
          <w:bCs w:val="0"/>
        </w:rPr>
        <w:t>.</w:t>
      </w:r>
      <w:proofErr w:type="gramEnd"/>
    </w:p>
    <w:p w14:paraId="7A24E791" w14:textId="77777777" w:rsidR="003918D7" w:rsidRDefault="003918D7" w:rsidP="003918D7">
      <w:pPr>
        <w:pStyle w:val="Heading3"/>
      </w:pPr>
      <w:r>
        <w:t>Le manuel Sphère</w:t>
      </w:r>
    </w:p>
    <w:p w14:paraId="74D4A3ED" w14:textId="77777777" w:rsidR="003918D7" w:rsidRDefault="003918D7" w:rsidP="003918D7">
      <w:r>
        <w:rPr>
          <w:bCs w:val="0"/>
        </w:rPr>
        <w:t>Le manuel Sphère est l</w:t>
      </w:r>
      <w:r w:rsidR="00994220">
        <w:rPr>
          <w:bCs w:val="0"/>
        </w:rPr>
        <w:t>’</w:t>
      </w:r>
      <w:r>
        <w:rPr>
          <w:bCs w:val="0"/>
        </w:rPr>
        <w:t xml:space="preserve">un des ensembles de principes communs et de standards minimums </w:t>
      </w:r>
      <w:r w:rsidR="00D56B1F">
        <w:rPr>
          <w:bCs w:val="0"/>
        </w:rPr>
        <w:t xml:space="preserve">universels </w:t>
      </w:r>
      <w:r>
        <w:rPr>
          <w:bCs w:val="0"/>
        </w:rPr>
        <w:t>les plus connus et les mieux reconnus dans le domaine de l</w:t>
      </w:r>
      <w:r w:rsidR="00994220">
        <w:rPr>
          <w:bCs w:val="0"/>
        </w:rPr>
        <w:t>’</w:t>
      </w:r>
      <w:r>
        <w:rPr>
          <w:bCs w:val="0"/>
        </w:rPr>
        <w:t>aide humanitaire, et il permet aux acteurs humanitaires de garantir la qualité et la redevabilité de leurs travaux.</w:t>
      </w:r>
    </w:p>
    <w:p w14:paraId="1CA1BDDA" w14:textId="77777777" w:rsidR="003918D7" w:rsidRDefault="003918D7" w:rsidP="003918D7">
      <w:r>
        <w:rPr>
          <w:bCs w:val="0"/>
        </w:rPr>
        <w:t>Le manuel est élaboré à partir d</w:t>
      </w:r>
      <w:r w:rsidR="00994220">
        <w:rPr>
          <w:bCs w:val="0"/>
        </w:rPr>
        <w:t>’</w:t>
      </w:r>
      <w:r>
        <w:rPr>
          <w:bCs w:val="0"/>
        </w:rPr>
        <w:t>un large processus consultatif basé sur un consensus au sein du secteur humanitaire. Puisqu</w:t>
      </w:r>
      <w:r w:rsidR="00994220">
        <w:rPr>
          <w:bCs w:val="0"/>
        </w:rPr>
        <w:t>’</w:t>
      </w:r>
      <w:r>
        <w:rPr>
          <w:bCs w:val="0"/>
        </w:rPr>
        <w:t>il traduit l</w:t>
      </w:r>
      <w:r w:rsidR="00994220">
        <w:rPr>
          <w:bCs w:val="0"/>
        </w:rPr>
        <w:t>’</w:t>
      </w:r>
      <w:r>
        <w:rPr>
          <w:bCs w:val="0"/>
        </w:rPr>
        <w:t>effort collectif d</w:t>
      </w:r>
      <w:r w:rsidR="00994220">
        <w:rPr>
          <w:bCs w:val="0"/>
        </w:rPr>
        <w:t>’</w:t>
      </w:r>
      <w:r>
        <w:rPr>
          <w:bCs w:val="0"/>
        </w:rPr>
        <w:t>un grand nombre d</w:t>
      </w:r>
      <w:r w:rsidR="00994220">
        <w:rPr>
          <w:bCs w:val="0"/>
        </w:rPr>
        <w:t>’</w:t>
      </w:r>
      <w:r>
        <w:rPr>
          <w:bCs w:val="0"/>
        </w:rPr>
        <w:t>acteurs humanitaires, il n</w:t>
      </w:r>
      <w:r w:rsidR="00994220">
        <w:rPr>
          <w:bCs w:val="0"/>
        </w:rPr>
        <w:t>’</w:t>
      </w:r>
      <w:r>
        <w:rPr>
          <w:bCs w:val="0"/>
        </w:rPr>
        <w:t>appartient à aucune organisation en particulier mais il fournit un langage commun entre les différentes agences.</w:t>
      </w:r>
    </w:p>
    <w:p w14:paraId="03FD0654" w14:textId="77777777" w:rsidR="003918D7" w:rsidRDefault="003918D7" w:rsidP="003918D7">
      <w:r>
        <w:rPr>
          <w:bCs w:val="0"/>
        </w:rPr>
        <w:t>Le manuel rassemble les standards minimums universels fondés sur la preuve dans quatre secteurs visant à sauver des vies : l</w:t>
      </w:r>
      <w:r w:rsidR="00994220">
        <w:rPr>
          <w:bCs w:val="0"/>
        </w:rPr>
        <w:t>’</w:t>
      </w:r>
      <w:r>
        <w:rPr>
          <w:bCs w:val="0"/>
        </w:rPr>
        <w:t>approvisionnement en eau, l</w:t>
      </w:r>
      <w:r w:rsidR="00994220">
        <w:rPr>
          <w:bCs w:val="0"/>
        </w:rPr>
        <w:t>’</w:t>
      </w:r>
      <w:r>
        <w:rPr>
          <w:bCs w:val="0"/>
        </w:rPr>
        <w:t>assainissement et la promotion de l</w:t>
      </w:r>
      <w:r w:rsidR="00994220">
        <w:rPr>
          <w:bCs w:val="0"/>
        </w:rPr>
        <w:t>’</w:t>
      </w:r>
      <w:r>
        <w:rPr>
          <w:bCs w:val="0"/>
        </w:rPr>
        <w:t>hygiène ; la sécurité alimentaire et la nutrition ; les abris, l</w:t>
      </w:r>
      <w:r w:rsidR="00994220">
        <w:rPr>
          <w:bCs w:val="0"/>
        </w:rPr>
        <w:t>’</w:t>
      </w:r>
      <w:r>
        <w:rPr>
          <w:bCs w:val="0"/>
        </w:rPr>
        <w:t>habitat et les articles non alimentaires, ainsi que l</w:t>
      </w:r>
      <w:r w:rsidR="00994220">
        <w:rPr>
          <w:bCs w:val="0"/>
        </w:rPr>
        <w:t>’</w:t>
      </w:r>
      <w:r>
        <w:rPr>
          <w:bCs w:val="0"/>
        </w:rPr>
        <w:t>action sanitaire. Sur la base des principes moraux et juridiques énoncés dans la Charte humanitaire, il définit également des principes de protection et des standards essentiels qui éclaire</w:t>
      </w:r>
      <w:r w:rsidR="00D56B1F">
        <w:rPr>
          <w:bCs w:val="0"/>
        </w:rPr>
        <w:t>nt</w:t>
      </w:r>
      <w:r>
        <w:rPr>
          <w:bCs w:val="0"/>
        </w:rPr>
        <w:t xml:space="preserve"> toute intervention humanitaire dans un souci de qualité et de redevabilité vis-à-vis des populations </w:t>
      </w:r>
      <w:r w:rsidR="00D56B1F">
        <w:rPr>
          <w:bCs w:val="0"/>
        </w:rPr>
        <w:t>touchées</w:t>
      </w:r>
      <w:r>
        <w:rPr>
          <w:bCs w:val="0"/>
        </w:rPr>
        <w:t>.</w:t>
      </w:r>
    </w:p>
    <w:p w14:paraId="1CE8657D" w14:textId="77777777" w:rsidR="003918D7" w:rsidRDefault="003918D7" w:rsidP="003918D7">
      <w:pPr>
        <w:pStyle w:val="Heading3"/>
      </w:pPr>
      <w:r>
        <w:t>Identité et gouvernance</w:t>
      </w:r>
    </w:p>
    <w:p w14:paraId="1A8A1CE4" w14:textId="77777777" w:rsidR="003918D7" w:rsidRDefault="003918D7" w:rsidP="003918D7">
      <w:r>
        <w:rPr>
          <w:bCs w:val="0"/>
        </w:rPr>
        <w:t>Lancé en 1997 par un groupe d</w:t>
      </w:r>
      <w:r w:rsidR="00994220">
        <w:rPr>
          <w:bCs w:val="0"/>
        </w:rPr>
        <w:t>’</w:t>
      </w:r>
      <w:r>
        <w:rPr>
          <w:bCs w:val="0"/>
        </w:rPr>
        <w:t xml:space="preserve">ONG humanitaires et par le Mouvement international de la Croix-Rouge et du Croissant-Rouge, le Projet Sphère rassemble désormais une </w:t>
      </w:r>
      <w:r w:rsidR="00DB0112">
        <w:rPr>
          <w:bCs w:val="0"/>
        </w:rPr>
        <w:t xml:space="preserve">vaste </w:t>
      </w:r>
      <w:r>
        <w:rPr>
          <w:bCs w:val="0"/>
        </w:rPr>
        <w:t xml:space="preserve">communauté de praticiens à travers le monde, y compris des agences onusiennes, des bailleurs de fonds, des gouvernements </w:t>
      </w:r>
      <w:r w:rsidR="00525040">
        <w:rPr>
          <w:bCs w:val="0"/>
        </w:rPr>
        <w:t>concernés</w:t>
      </w:r>
      <w:r>
        <w:rPr>
          <w:bCs w:val="0"/>
        </w:rPr>
        <w:t xml:space="preserve"> et des établissements universitaires.</w:t>
      </w:r>
    </w:p>
    <w:p w14:paraId="3F831E4F" w14:textId="77777777" w:rsidR="003918D7" w:rsidRDefault="003918D7" w:rsidP="003918D7">
      <w:r>
        <w:rPr>
          <w:bCs w:val="0"/>
        </w:rPr>
        <w:t xml:space="preserve">Les organisations qui souhaitent faire en sorte que leurs politiques et leurs stratégies opérationnelles respectent les principes et les </w:t>
      </w:r>
      <w:r w:rsidR="00DB0112">
        <w:rPr>
          <w:bCs w:val="0"/>
        </w:rPr>
        <w:t xml:space="preserve">standards </w:t>
      </w:r>
      <w:r>
        <w:rPr>
          <w:bCs w:val="0"/>
        </w:rPr>
        <w:t>du Projet Sphère le font de leur propre gré. Il n</w:t>
      </w:r>
      <w:r w:rsidR="00994220">
        <w:rPr>
          <w:bCs w:val="0"/>
        </w:rPr>
        <w:t>’</w:t>
      </w:r>
      <w:r>
        <w:rPr>
          <w:bCs w:val="0"/>
        </w:rPr>
        <w:t>y a pas de mécanisme d</w:t>
      </w:r>
      <w:r w:rsidR="00994220">
        <w:rPr>
          <w:bCs w:val="0"/>
        </w:rPr>
        <w:t>’</w:t>
      </w:r>
      <w:r>
        <w:rPr>
          <w:bCs w:val="0"/>
        </w:rPr>
        <w:t>adhésion au Projet Sphère. Depuis sa création, le processus Sphère s</w:t>
      </w:r>
      <w:r w:rsidR="00994220">
        <w:rPr>
          <w:bCs w:val="0"/>
        </w:rPr>
        <w:t>’</w:t>
      </w:r>
      <w:r>
        <w:rPr>
          <w:bCs w:val="0"/>
        </w:rPr>
        <w:t>est efforcé d</w:t>
      </w:r>
      <w:r w:rsidR="00994220">
        <w:rPr>
          <w:bCs w:val="0"/>
        </w:rPr>
        <w:t>’</w:t>
      </w:r>
      <w:r>
        <w:rPr>
          <w:bCs w:val="0"/>
        </w:rPr>
        <w:t>être inclusif, transparent et d</w:t>
      </w:r>
      <w:r w:rsidR="00994220">
        <w:rPr>
          <w:bCs w:val="0"/>
        </w:rPr>
        <w:t>’</w:t>
      </w:r>
      <w:r>
        <w:rPr>
          <w:bCs w:val="0"/>
        </w:rPr>
        <w:t>assurer une représentati</w:t>
      </w:r>
      <w:r w:rsidR="00DB0112">
        <w:rPr>
          <w:bCs w:val="0"/>
        </w:rPr>
        <w:t>vité</w:t>
      </w:r>
      <w:r>
        <w:rPr>
          <w:bCs w:val="0"/>
        </w:rPr>
        <w:t xml:space="preserve"> mondiale.</w:t>
      </w:r>
    </w:p>
    <w:p w14:paraId="242EA17B" w14:textId="77777777" w:rsidR="003918D7" w:rsidRDefault="003918D7" w:rsidP="003918D7">
      <w:r>
        <w:rPr>
          <w:bCs w:val="0"/>
        </w:rPr>
        <w:t>Le Projet Sphère est supervisé par un Conseil d</w:t>
      </w:r>
      <w:r w:rsidR="00994220">
        <w:rPr>
          <w:bCs w:val="0"/>
        </w:rPr>
        <w:t>’</w:t>
      </w:r>
      <w:r>
        <w:rPr>
          <w:bCs w:val="0"/>
        </w:rPr>
        <w:t>administration qui représente des réseaux mondiaux d</w:t>
      </w:r>
      <w:r w:rsidR="00AD34DC">
        <w:rPr>
          <w:bCs w:val="0"/>
        </w:rPr>
        <w:t>’</w:t>
      </w:r>
      <w:r>
        <w:rPr>
          <w:bCs w:val="0"/>
        </w:rPr>
        <w:t>ONG. Une petite équipe basée à Genève déploie la stratégie d</w:t>
      </w:r>
      <w:r w:rsidR="00AD34DC">
        <w:rPr>
          <w:bCs w:val="0"/>
        </w:rPr>
        <w:t xml:space="preserve">u projet </w:t>
      </w:r>
      <w:r>
        <w:rPr>
          <w:bCs w:val="0"/>
        </w:rPr>
        <w:t>Sphère telle qu</w:t>
      </w:r>
      <w:r w:rsidR="00994220">
        <w:rPr>
          <w:bCs w:val="0"/>
        </w:rPr>
        <w:t>’</w:t>
      </w:r>
      <w:r>
        <w:rPr>
          <w:bCs w:val="0"/>
        </w:rPr>
        <w:t>elle est élaborée par le Conseil et veille à la production du manuel Sphère et la prestation des services annexes. Le financement des travaux de l</w:t>
      </w:r>
      <w:r w:rsidR="00994220">
        <w:rPr>
          <w:bCs w:val="0"/>
        </w:rPr>
        <w:t>’</w:t>
      </w:r>
      <w:r>
        <w:rPr>
          <w:bCs w:val="0"/>
        </w:rPr>
        <w:t xml:space="preserve">équipe de projet est </w:t>
      </w:r>
      <w:r w:rsidR="00AD34DC">
        <w:rPr>
          <w:bCs w:val="0"/>
        </w:rPr>
        <w:t>assuré</w:t>
      </w:r>
      <w:r>
        <w:rPr>
          <w:bCs w:val="0"/>
        </w:rPr>
        <w:t xml:space="preserve"> par les organisations membres du Conseil et par des bailleurs de fonds.</w:t>
      </w:r>
    </w:p>
    <w:p w14:paraId="2BF5AAED" w14:textId="77777777" w:rsidR="003918D7" w:rsidRDefault="003918D7" w:rsidP="003918D7">
      <w:pPr>
        <w:pStyle w:val="Heading3"/>
      </w:pPr>
      <w:r>
        <w:t>Valeurs et principes directeurs</w:t>
      </w:r>
    </w:p>
    <w:p w14:paraId="0AAB0544" w14:textId="77777777" w:rsidR="003918D7" w:rsidRDefault="003918D7" w:rsidP="003918D7">
      <w:r>
        <w:rPr>
          <w:bCs w:val="0"/>
        </w:rPr>
        <w:t>Le Projet Sphère entend ancrer l</w:t>
      </w:r>
      <w:r w:rsidR="00994220">
        <w:rPr>
          <w:bCs w:val="0"/>
        </w:rPr>
        <w:t>’</w:t>
      </w:r>
      <w:r>
        <w:rPr>
          <w:bCs w:val="0"/>
        </w:rPr>
        <w:t>intervention humanitaire dans une approche participative et fondée sur les droits. La Charte humanitaire place les droits des populations touchées par une catastrophe à vivre dans la dignité, à recevoir une assistance humanitaire ainsi qu</w:t>
      </w:r>
      <w:r w:rsidR="00994220">
        <w:rPr>
          <w:bCs w:val="0"/>
        </w:rPr>
        <w:t>’</w:t>
      </w:r>
      <w:r>
        <w:rPr>
          <w:bCs w:val="0"/>
        </w:rPr>
        <w:t>à la protection et la sécurité au cœur de l</w:t>
      </w:r>
      <w:r w:rsidR="00994220">
        <w:rPr>
          <w:bCs w:val="0"/>
        </w:rPr>
        <w:t>’</w:t>
      </w:r>
      <w:r>
        <w:rPr>
          <w:bCs w:val="0"/>
        </w:rPr>
        <w:t>intervention humanitaire.</w:t>
      </w:r>
    </w:p>
    <w:p w14:paraId="5DF5B9E6" w14:textId="77777777" w:rsidR="003918D7" w:rsidRDefault="003918D7" w:rsidP="003918D7">
      <w:r>
        <w:rPr>
          <w:bCs w:val="0"/>
        </w:rPr>
        <w:t xml:space="preserve">Le Projet Sphère promeut la participation active des populations </w:t>
      </w:r>
      <w:r w:rsidR="00AD34DC">
        <w:rPr>
          <w:bCs w:val="0"/>
        </w:rPr>
        <w:t xml:space="preserve">touchées </w:t>
      </w:r>
      <w:r>
        <w:rPr>
          <w:bCs w:val="0"/>
        </w:rPr>
        <w:t>ainsi que des autorités locales et nationales à tous les stades de l</w:t>
      </w:r>
      <w:r w:rsidR="00994220">
        <w:rPr>
          <w:bCs w:val="0"/>
        </w:rPr>
        <w:t>’</w:t>
      </w:r>
      <w:r>
        <w:rPr>
          <w:bCs w:val="0"/>
        </w:rPr>
        <w:t xml:space="preserve">intervention. Il encourage </w:t>
      </w:r>
      <w:r w:rsidR="00BC016F">
        <w:rPr>
          <w:bCs w:val="0"/>
        </w:rPr>
        <w:t xml:space="preserve">vivement </w:t>
      </w:r>
      <w:r>
        <w:rPr>
          <w:bCs w:val="0"/>
        </w:rPr>
        <w:t>les acteurs humanitaires internationaux à appuyer leur intervention sur les capacités locales et nationales.</w:t>
      </w:r>
    </w:p>
    <w:p w14:paraId="36E98F3C" w14:textId="77777777" w:rsidR="003918D7" w:rsidRDefault="003918D7" w:rsidP="003918D7">
      <w:pPr>
        <w:pStyle w:val="Heading3"/>
      </w:pPr>
      <w:r>
        <w:t>Standards associés, partenaires et points focaux</w:t>
      </w:r>
    </w:p>
    <w:p w14:paraId="3928D31B" w14:textId="77777777" w:rsidR="003918D7" w:rsidRDefault="003918D7" w:rsidP="003918D7">
      <w:pPr>
        <w:keepNext/>
      </w:pPr>
      <w:r>
        <w:rPr>
          <w:bCs w:val="0"/>
        </w:rPr>
        <w:t>Certains secteurs humanitaires qui ne sont pas couverts par le manuel Sphère ont élaboré leurs propres normes par le biais d</w:t>
      </w:r>
      <w:r w:rsidR="00994220">
        <w:rPr>
          <w:bCs w:val="0"/>
        </w:rPr>
        <w:t>’</w:t>
      </w:r>
      <w:r>
        <w:rPr>
          <w:bCs w:val="0"/>
        </w:rPr>
        <w:t xml:space="preserve">un processus de consultation fondé sur les droits qui </w:t>
      </w:r>
      <w:r w:rsidR="00BC016F">
        <w:rPr>
          <w:bCs w:val="0"/>
        </w:rPr>
        <w:t>s’inspire du</w:t>
      </w:r>
      <w:r>
        <w:rPr>
          <w:bCs w:val="0"/>
        </w:rPr>
        <w:t xml:space="preserve"> Projet Sphère.</w:t>
      </w:r>
    </w:p>
    <w:p w14:paraId="6E377245" w14:textId="77777777" w:rsidR="003918D7" w:rsidRDefault="003918D7" w:rsidP="003918D7">
      <w:r>
        <w:rPr>
          <w:bCs w:val="0"/>
        </w:rPr>
        <w:t>Le Projet Sphère reconnaît les normes suivantes en tant que standards associés du manuel Sphère : les « Normes minimales pour l</w:t>
      </w:r>
      <w:r w:rsidR="00994220">
        <w:rPr>
          <w:bCs w:val="0"/>
        </w:rPr>
        <w:t>’</w:t>
      </w:r>
      <w:r>
        <w:rPr>
          <w:bCs w:val="0"/>
        </w:rPr>
        <w:t>éducation : Préparation, interventions, relèvement » du Réseau inter-agences pour l</w:t>
      </w:r>
      <w:r w:rsidR="00994220">
        <w:rPr>
          <w:bCs w:val="0"/>
        </w:rPr>
        <w:t>’</w:t>
      </w:r>
      <w:r>
        <w:rPr>
          <w:bCs w:val="0"/>
        </w:rPr>
        <w:t>éducation en situations d</w:t>
      </w:r>
      <w:r w:rsidR="00994220">
        <w:rPr>
          <w:bCs w:val="0"/>
        </w:rPr>
        <w:t>’</w:t>
      </w:r>
      <w:r>
        <w:rPr>
          <w:bCs w:val="0"/>
        </w:rPr>
        <w:t>urgence (INEE) ; les « Normes et directives pour l</w:t>
      </w:r>
      <w:r w:rsidR="00994220">
        <w:rPr>
          <w:bCs w:val="0"/>
        </w:rPr>
        <w:t>’</w:t>
      </w:r>
      <w:r>
        <w:rPr>
          <w:bCs w:val="0"/>
        </w:rPr>
        <w:t>aide d</w:t>
      </w:r>
      <w:r w:rsidR="00994220">
        <w:rPr>
          <w:bCs w:val="0"/>
        </w:rPr>
        <w:t>’</w:t>
      </w:r>
      <w:r>
        <w:rPr>
          <w:bCs w:val="0"/>
        </w:rPr>
        <w:t>urgence à l</w:t>
      </w:r>
      <w:r w:rsidR="00994220">
        <w:rPr>
          <w:bCs w:val="0"/>
        </w:rPr>
        <w:t>’</w:t>
      </w:r>
      <w:r>
        <w:rPr>
          <w:bCs w:val="0"/>
        </w:rPr>
        <w:t xml:space="preserve">élevage » </w:t>
      </w:r>
      <w:r w:rsidR="00BC016F">
        <w:rPr>
          <w:bCs w:val="0"/>
        </w:rPr>
        <w:t>du</w:t>
      </w:r>
      <w:r>
        <w:rPr>
          <w:bCs w:val="0"/>
        </w:rPr>
        <w:t xml:space="preserve"> projet LEGS ; les Normes minimales pour l</w:t>
      </w:r>
      <w:r w:rsidR="00994220">
        <w:rPr>
          <w:bCs w:val="0"/>
        </w:rPr>
        <w:t>’</w:t>
      </w:r>
      <w:r>
        <w:rPr>
          <w:bCs w:val="0"/>
        </w:rPr>
        <w:t>éducation de l</w:t>
      </w:r>
      <w:r w:rsidR="00994220">
        <w:rPr>
          <w:bCs w:val="0"/>
        </w:rPr>
        <w:t>’</w:t>
      </w:r>
      <w:r>
        <w:rPr>
          <w:bCs w:val="0"/>
        </w:rPr>
        <w:t xml:space="preserve">INEE ; et les </w:t>
      </w:r>
      <w:r w:rsidR="00BC016F">
        <w:rPr>
          <w:bCs w:val="0"/>
        </w:rPr>
        <w:t>« </w:t>
      </w:r>
      <w:r>
        <w:rPr>
          <w:bCs w:val="0"/>
        </w:rPr>
        <w:t>Normes minimales pour le relèvement économique après une crise</w:t>
      </w:r>
      <w:r w:rsidR="00BC016F">
        <w:rPr>
          <w:bCs w:val="0"/>
        </w:rPr>
        <w:t xml:space="preserve"> » </w:t>
      </w:r>
      <w:r>
        <w:rPr>
          <w:bCs w:val="0"/>
        </w:rPr>
        <w:t>du Réseau d</w:t>
      </w:r>
      <w:r w:rsidR="00994220">
        <w:rPr>
          <w:bCs w:val="0"/>
        </w:rPr>
        <w:t>’</w:t>
      </w:r>
      <w:r>
        <w:rPr>
          <w:bCs w:val="0"/>
        </w:rPr>
        <w:t>éducation et de promotion des petites entreprises (SEEP).</w:t>
      </w:r>
    </w:p>
    <w:p w14:paraId="6027BB7F" w14:textId="648F0078" w:rsidR="009E7D03" w:rsidRDefault="003918D7" w:rsidP="003918D7">
      <w:pPr>
        <w:rPr>
          <w:bCs w:val="0"/>
        </w:rPr>
      </w:pPr>
      <w:r>
        <w:rPr>
          <w:bCs w:val="0"/>
        </w:rPr>
        <w:t>Dans de nombreux pays touchés par une catastrophe ou un conflit armé, la communauté humanitaire a mis en place des points focaux Sphère (les</w:t>
      </w:r>
      <w:r w:rsidR="00EB55E6">
        <w:rPr>
          <w:bCs w:val="0"/>
        </w:rPr>
        <w:t> « </w:t>
      </w:r>
      <w:r>
        <w:rPr>
          <w:bCs w:val="0"/>
        </w:rPr>
        <w:t>partenaires de Sphère</w:t>
      </w:r>
      <w:r w:rsidR="00EB55E6">
        <w:rPr>
          <w:bCs w:val="0"/>
        </w:rPr>
        <w:t> »</w:t>
      </w:r>
      <w:r>
        <w:rPr>
          <w:bCs w:val="0"/>
        </w:rPr>
        <w:t xml:space="preserve"> sont des points focaux régionaux) qui promeuvent activement </w:t>
      </w:r>
      <w:r w:rsidR="00BC016F">
        <w:rPr>
          <w:bCs w:val="0"/>
        </w:rPr>
        <w:t xml:space="preserve">le Projet </w:t>
      </w:r>
      <w:r>
        <w:rPr>
          <w:bCs w:val="0"/>
        </w:rPr>
        <w:t>Sphère auprès des praticiens et des autorités nation</w:t>
      </w:r>
      <w:r w:rsidR="009E7D03">
        <w:rPr>
          <w:bCs w:val="0"/>
        </w:rPr>
        <w:t>a</w:t>
      </w:r>
      <w:r>
        <w:rPr>
          <w:bCs w:val="0"/>
        </w:rPr>
        <w:t>les et locales.</w:t>
      </w:r>
    </w:p>
    <w:p w14:paraId="0F0E2337" w14:textId="57B118D7" w:rsidR="003918D7" w:rsidRDefault="00B45A0E" w:rsidP="003918D7">
      <w:pPr>
        <w:pStyle w:val="Heading3"/>
        <w:spacing w:before="0"/>
        <w:jc w:val="center"/>
      </w:pPr>
      <w:r>
        <w:rPr>
          <w:noProof/>
          <w:lang w:val="en-GB" w:eastAsia="en-GB"/>
        </w:rPr>
        <w:lastRenderedPageBreak/>
        <w:drawing>
          <wp:inline distT="0" distB="0" distL="0" distR="0" wp14:anchorId="4012CBF8" wp14:editId="4E6E86EE">
            <wp:extent cx="2165819" cy="97200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nch-Sphere-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5819" cy="9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3274C" w14:textId="77777777" w:rsidR="009C60AC" w:rsidRPr="009C60AC" w:rsidRDefault="009C60AC" w:rsidP="009C60AC"/>
    <w:p w14:paraId="2C699E44" w14:textId="77777777" w:rsidR="00A362E5" w:rsidRPr="00B45A0E" w:rsidRDefault="003918D7" w:rsidP="00D34FFC">
      <w:pPr>
        <w:pStyle w:val="Heading3"/>
        <w:tabs>
          <w:tab w:val="clear" w:pos="9356"/>
        </w:tabs>
        <w:spacing w:after="240"/>
        <w:ind w:right="-227"/>
        <w:rPr>
          <w:sz w:val="20"/>
          <w:szCs w:val="20"/>
        </w:rPr>
      </w:pPr>
      <w:r w:rsidRPr="00B45A0E">
        <w:rPr>
          <w:sz w:val="20"/>
          <w:szCs w:val="20"/>
        </w:rPr>
        <w:t>Améliorer la qualité et la redevabilité des interventions humanitaires grâce à une approche centrée sur l</w:t>
      </w:r>
      <w:r w:rsidR="00FC30FB" w:rsidRPr="00B45A0E">
        <w:rPr>
          <w:sz w:val="20"/>
          <w:szCs w:val="20"/>
        </w:rPr>
        <w:t>es personnes</w:t>
      </w:r>
      <w:r w:rsidRPr="00B45A0E">
        <w:rPr>
          <w:sz w:val="20"/>
          <w:szCs w:val="20"/>
        </w:rPr>
        <w:t xml:space="preserve"> et fondée sur les droits et par la définition de standards minimums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7"/>
        <w:gridCol w:w="372"/>
        <w:gridCol w:w="1843"/>
        <w:gridCol w:w="1525"/>
        <w:gridCol w:w="416"/>
        <w:gridCol w:w="2649"/>
      </w:tblGrid>
      <w:tr w:rsidR="00A362E5" w:rsidRPr="00A608EC" w14:paraId="1A7A5A8C" w14:textId="77777777" w:rsidTr="0073319C">
        <w:trPr>
          <w:jc w:val="center"/>
        </w:trPr>
        <w:tc>
          <w:tcPr>
            <w:tcW w:w="1579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6AE973C3" w14:textId="77777777" w:rsidR="00A362E5" w:rsidRPr="00F01CD1" w:rsidRDefault="00A362E5" w:rsidP="00A362E5">
            <w:pPr>
              <w:pStyle w:val="tableheading"/>
            </w:pPr>
            <w:r>
              <w:t>Charte humanitaire</w:t>
            </w:r>
          </w:p>
          <w:p w14:paraId="190AF09C" w14:textId="77777777" w:rsidR="00A362E5" w:rsidRPr="00F01CD1" w:rsidRDefault="00A362E5" w:rsidP="00FE7E60">
            <w:pPr>
              <w:pStyle w:val="tablebullet"/>
            </w:pPr>
            <w:r>
              <w:t>Le droit de vivre dans la dignité</w:t>
            </w:r>
          </w:p>
          <w:p w14:paraId="53BD5262" w14:textId="77777777" w:rsidR="00A362E5" w:rsidRDefault="00A362E5" w:rsidP="00FE7E60">
            <w:pPr>
              <w:pStyle w:val="tablebullet"/>
            </w:pPr>
            <w:r>
              <w:t>Le droit de recevoir une a</w:t>
            </w:r>
            <w:r w:rsidR="00FC30FB">
              <w:t>ssistance</w:t>
            </w:r>
            <w:r>
              <w:t xml:space="preserve"> humanitaire</w:t>
            </w:r>
          </w:p>
          <w:p w14:paraId="210E5EE8" w14:textId="77777777" w:rsidR="00A362E5" w:rsidRPr="00F01CD1" w:rsidRDefault="00A362E5" w:rsidP="00FE7E60">
            <w:pPr>
              <w:pStyle w:val="tablebullet"/>
            </w:pPr>
            <w:r>
              <w:t xml:space="preserve">Le droit à la protection et à la sécurité </w:t>
            </w:r>
          </w:p>
        </w:tc>
        <w:tc>
          <w:tcPr>
            <w:tcW w:w="1791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</w:tcPr>
          <w:p w14:paraId="3F5BB3F0" w14:textId="77777777" w:rsidR="00A362E5" w:rsidRDefault="00A362E5" w:rsidP="00A362E5">
            <w:pPr>
              <w:pStyle w:val="tableheading"/>
            </w:pPr>
            <w:r>
              <w:t xml:space="preserve">Principes </w:t>
            </w:r>
          </w:p>
          <w:p w14:paraId="15B4E6A2" w14:textId="77777777" w:rsidR="00B45A0E" w:rsidRDefault="00A362E5" w:rsidP="00FE7E60">
            <w:pPr>
              <w:pStyle w:val="table"/>
              <w:spacing w:before="160" w:after="120"/>
              <w:jc w:val="center"/>
              <w:rPr>
                <w:bCs w:val="0"/>
              </w:rPr>
            </w:pPr>
            <w:r>
              <w:rPr>
                <w:bCs w:val="0"/>
              </w:rPr>
              <w:t>mis en pratique par l</w:t>
            </w:r>
            <w:r w:rsidR="00994220">
              <w:rPr>
                <w:bCs w:val="0"/>
              </w:rPr>
              <w:t>’</w:t>
            </w:r>
            <w:r w:rsidR="00B45A0E">
              <w:rPr>
                <w:bCs w:val="0"/>
              </w:rPr>
              <w:t>application des</w:t>
            </w:r>
          </w:p>
          <w:p w14:paraId="7FD15F6D" w14:textId="0CB31B21" w:rsidR="00A362E5" w:rsidRPr="00F01CD1" w:rsidRDefault="00FC30FB" w:rsidP="00B45A0E">
            <w:pPr>
              <w:pStyle w:val="tableheading"/>
            </w:pPr>
            <w:r w:rsidRPr="00FC30FB">
              <w:t>standards</w:t>
            </w:r>
            <w:r w:rsidR="00A362E5">
              <w:t xml:space="preserve"> Sphère</w:t>
            </w:r>
            <w:r w:rsidR="00DE3A33">
              <w:t> :</w:t>
            </w:r>
          </w:p>
        </w:tc>
        <w:tc>
          <w:tcPr>
            <w:tcW w:w="1630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1E46C3AC" w14:textId="77777777" w:rsidR="00A362E5" w:rsidRPr="00F01CD1" w:rsidRDefault="00A362E5" w:rsidP="00A362E5">
            <w:pPr>
              <w:pStyle w:val="tableheading"/>
            </w:pPr>
            <w:r>
              <w:t>Principes de protection</w:t>
            </w:r>
          </w:p>
          <w:p w14:paraId="1BCD66B1" w14:textId="77777777" w:rsidR="00A362E5" w:rsidRDefault="00A362E5" w:rsidP="00FE7E60">
            <w:pPr>
              <w:pStyle w:val="tablebullet"/>
            </w:pPr>
            <w:r>
              <w:t>Éviter de porter préjudice</w:t>
            </w:r>
          </w:p>
          <w:p w14:paraId="31E95989" w14:textId="77777777" w:rsidR="00A362E5" w:rsidRDefault="00A362E5" w:rsidP="00FE7E60">
            <w:pPr>
              <w:pStyle w:val="tablebullet"/>
            </w:pPr>
            <w:r>
              <w:t>Garantir une assistance impartiale</w:t>
            </w:r>
          </w:p>
          <w:p w14:paraId="601CB050" w14:textId="77777777" w:rsidR="00A362E5" w:rsidRDefault="00A362E5" w:rsidP="00FE7E60">
            <w:pPr>
              <w:pStyle w:val="tablebullet"/>
            </w:pPr>
            <w:r>
              <w:t>Protéger la population de la violence</w:t>
            </w:r>
          </w:p>
          <w:p w14:paraId="47A4DB35" w14:textId="77777777" w:rsidR="00A362E5" w:rsidRPr="00F01CD1" w:rsidRDefault="00A362E5" w:rsidP="00FE7E60">
            <w:pPr>
              <w:pStyle w:val="tablebullet"/>
            </w:pPr>
            <w:r>
              <w:t xml:space="preserve">Aider à faire valoir les droits, à obtenir réparation et à se remettre des </w:t>
            </w:r>
            <w:r w:rsidR="00A45A89">
              <w:t>effets d’a</w:t>
            </w:r>
            <w:r>
              <w:t>bus</w:t>
            </w:r>
          </w:p>
        </w:tc>
      </w:tr>
      <w:tr w:rsidR="00A362E5" w:rsidRPr="00A608EC" w14:paraId="09D4A078" w14:textId="77777777" w:rsidTr="0073319C">
        <w:trPr>
          <w:jc w:val="center"/>
        </w:trPr>
        <w:tc>
          <w:tcPr>
            <w:tcW w:w="1579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62F05B9D" w14:textId="5800899A" w:rsidR="00A362E5" w:rsidRDefault="00A362E5" w:rsidP="00A362E5">
            <w:pPr>
              <w:pStyle w:val="tableheading"/>
            </w:pPr>
            <w:r>
              <w:t>Standards associés</w:t>
            </w:r>
          </w:p>
          <w:p w14:paraId="39F77D10" w14:textId="77777777" w:rsidR="00A362E5" w:rsidRDefault="00A362E5" w:rsidP="00FE7E60">
            <w:pPr>
              <w:pStyle w:val="tablebullet"/>
            </w:pPr>
            <w:r>
              <w:t>Éducation (INEE)</w:t>
            </w:r>
          </w:p>
          <w:p w14:paraId="66859F49" w14:textId="77777777" w:rsidR="00A362E5" w:rsidRDefault="00A362E5" w:rsidP="00FE7E60">
            <w:pPr>
              <w:pStyle w:val="tablebullet"/>
            </w:pPr>
            <w:r>
              <w:t>Élevage (LEGS)</w:t>
            </w:r>
          </w:p>
          <w:p w14:paraId="2F3C9082" w14:textId="77777777" w:rsidR="00A362E5" w:rsidRPr="00F01CD1" w:rsidRDefault="00A362E5" w:rsidP="00FE7E60">
            <w:pPr>
              <w:pStyle w:val="tablebullet"/>
            </w:pPr>
            <w:r>
              <w:t>Relèvement économique (SEEP)</w:t>
            </w:r>
          </w:p>
          <w:p w14:paraId="41808EAA" w14:textId="77777777" w:rsidR="00A362E5" w:rsidRPr="00F01CD1" w:rsidRDefault="00A362E5" w:rsidP="00FE7E60">
            <w:pPr>
              <w:pStyle w:val="tablebullet"/>
            </w:pPr>
            <w:r>
              <w:t>Protection de l</w:t>
            </w:r>
            <w:r w:rsidR="00994220">
              <w:t>’</w:t>
            </w:r>
            <w:r>
              <w:t>enfance (CPMS)</w:t>
            </w:r>
          </w:p>
        </w:tc>
        <w:tc>
          <w:tcPr>
            <w:tcW w:w="0" w:type="auto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1A852F91" w14:textId="77777777" w:rsidR="00B45A0E" w:rsidRPr="00F01CD1" w:rsidRDefault="00B45A0E" w:rsidP="00B45A0E">
            <w:pPr>
              <w:pStyle w:val="tableheading"/>
            </w:pPr>
            <w:r>
              <w:t>Standards essentiels</w:t>
            </w:r>
          </w:p>
          <w:p w14:paraId="027E91F1" w14:textId="77777777" w:rsidR="00B45A0E" w:rsidRDefault="00B45A0E" w:rsidP="00FE7E60">
            <w:pPr>
              <w:pStyle w:val="tablebullet"/>
            </w:pPr>
            <w:r>
              <w:t>Intervention centrée sur les personnes</w:t>
            </w:r>
          </w:p>
          <w:p w14:paraId="4CB169DF" w14:textId="77777777" w:rsidR="00B45A0E" w:rsidRDefault="00B45A0E" w:rsidP="00FE7E60">
            <w:pPr>
              <w:pStyle w:val="tablebullet"/>
            </w:pPr>
            <w:r>
              <w:t>Coordination et collaboration</w:t>
            </w:r>
          </w:p>
          <w:p w14:paraId="4D376701" w14:textId="77777777" w:rsidR="00B45A0E" w:rsidRDefault="00B45A0E" w:rsidP="00FE7E60">
            <w:pPr>
              <w:pStyle w:val="tablebullet"/>
            </w:pPr>
            <w:r>
              <w:t>Évaluation</w:t>
            </w:r>
          </w:p>
          <w:p w14:paraId="61777DC8" w14:textId="77777777" w:rsidR="00B45A0E" w:rsidRDefault="00B45A0E" w:rsidP="00FE7E60">
            <w:pPr>
              <w:pStyle w:val="tablebullet"/>
            </w:pPr>
            <w:r>
              <w:t>Conception et intervention</w:t>
            </w:r>
          </w:p>
          <w:p w14:paraId="40215B7D" w14:textId="77777777" w:rsidR="00B45A0E" w:rsidRPr="00F01CD1" w:rsidRDefault="00B45A0E" w:rsidP="00FE7E60">
            <w:pPr>
              <w:pStyle w:val="tablebullet"/>
            </w:pPr>
            <w:r>
              <w:t>Performance, transparence et apprentissage</w:t>
            </w:r>
          </w:p>
          <w:p w14:paraId="7BEDD583" w14:textId="222C51F6" w:rsidR="00A362E5" w:rsidRPr="00F01CD1" w:rsidRDefault="00B45A0E" w:rsidP="00FE7E60">
            <w:pPr>
              <w:pStyle w:val="tablebullet"/>
            </w:pPr>
            <w:r>
              <w:t>Performance des travailleurs humanitaires</w:t>
            </w:r>
          </w:p>
        </w:tc>
        <w:tc>
          <w:tcPr>
            <w:tcW w:w="1630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6E2506E9" w14:textId="77777777" w:rsidR="00A362E5" w:rsidRPr="00F01CD1" w:rsidRDefault="00A362E5" w:rsidP="00A362E5">
            <w:pPr>
              <w:pStyle w:val="tableheading"/>
            </w:pPr>
            <w:r>
              <w:t>Thèmes transversaux</w:t>
            </w:r>
          </w:p>
          <w:p w14:paraId="1D871075" w14:textId="77777777" w:rsidR="00A362E5" w:rsidRDefault="00F52F67" w:rsidP="00FE7E60">
            <w:pPr>
              <w:pStyle w:val="tablebullet"/>
            </w:pPr>
            <w:r>
              <w:t>E</w:t>
            </w:r>
            <w:r w:rsidR="00A362E5">
              <w:t>nfants</w:t>
            </w:r>
          </w:p>
          <w:p w14:paraId="618F1D10" w14:textId="77777777" w:rsidR="00A362E5" w:rsidRDefault="00A362E5" w:rsidP="00FE7E60">
            <w:pPr>
              <w:pStyle w:val="tablebullet"/>
            </w:pPr>
            <w:r>
              <w:t>Réduction des risques de catastrophe</w:t>
            </w:r>
          </w:p>
          <w:p w14:paraId="4A5AD05E" w14:textId="77777777" w:rsidR="00A362E5" w:rsidRDefault="00A362E5" w:rsidP="00FE7E60">
            <w:pPr>
              <w:pStyle w:val="tablebullet"/>
            </w:pPr>
            <w:r>
              <w:t>Environnement</w:t>
            </w:r>
          </w:p>
          <w:p w14:paraId="18F89306" w14:textId="77777777" w:rsidR="00A362E5" w:rsidRDefault="00A362E5" w:rsidP="00FE7E60">
            <w:pPr>
              <w:pStyle w:val="tablebullet"/>
            </w:pPr>
            <w:r>
              <w:t>Genre</w:t>
            </w:r>
          </w:p>
          <w:p w14:paraId="132CFDBC" w14:textId="77777777" w:rsidR="00A362E5" w:rsidRDefault="00A362E5" w:rsidP="00FE7E60">
            <w:pPr>
              <w:pStyle w:val="tablebullet"/>
            </w:pPr>
            <w:r>
              <w:t>VIH et sida</w:t>
            </w:r>
          </w:p>
          <w:p w14:paraId="400EE3BF" w14:textId="77777777" w:rsidR="00A362E5" w:rsidRDefault="00A362E5" w:rsidP="00FE7E60">
            <w:pPr>
              <w:pStyle w:val="tablebullet"/>
            </w:pPr>
            <w:r>
              <w:t>Personnes âgées</w:t>
            </w:r>
          </w:p>
          <w:p w14:paraId="1643F70C" w14:textId="77777777" w:rsidR="00A362E5" w:rsidRDefault="00A362E5" w:rsidP="00FE7E60">
            <w:pPr>
              <w:pStyle w:val="tablebullet"/>
            </w:pPr>
            <w:r>
              <w:t>Personnes handicapées</w:t>
            </w:r>
          </w:p>
          <w:p w14:paraId="486946F9" w14:textId="77777777" w:rsidR="00A362E5" w:rsidRPr="00F01CD1" w:rsidRDefault="00A362E5" w:rsidP="00FE7E60">
            <w:pPr>
              <w:pStyle w:val="tablebullet"/>
            </w:pPr>
            <w:r>
              <w:t>Soutien psychosocial</w:t>
            </w:r>
          </w:p>
        </w:tc>
      </w:tr>
      <w:tr w:rsidR="00A362E5" w:rsidRPr="00A608EC" w14:paraId="12DF52A2" w14:textId="77777777" w:rsidTr="0073319C">
        <w:trPr>
          <w:jc w:val="center"/>
        </w:trPr>
        <w:tc>
          <w:tcPr>
            <w:tcW w:w="5000" w:type="pct"/>
            <w:gridSpan w:val="6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3D1CBF2F" w14:textId="23F6FDEB" w:rsidR="00A362E5" w:rsidRPr="00F01CD1" w:rsidRDefault="00B45A0E" w:rsidP="00B45A0E">
            <w:pPr>
              <w:pStyle w:val="table"/>
            </w:pPr>
            <w:r>
              <w:rPr>
                <w:bCs w:val="0"/>
              </w:rPr>
              <w:t xml:space="preserve">…à prendre en compte lorsqu’on vise à atteindre les </w:t>
            </w:r>
            <w:r w:rsidRPr="00FC30FB">
              <w:rPr>
                <w:b/>
                <w:bCs w:val="0"/>
              </w:rPr>
              <w:t>s</w:t>
            </w:r>
            <w:r>
              <w:rPr>
                <w:b/>
              </w:rPr>
              <w:t>tandards minimums</w:t>
            </w:r>
            <w:r>
              <w:rPr>
                <w:bCs w:val="0"/>
              </w:rPr>
              <w:t>, y compris :</w:t>
            </w:r>
            <w:r w:rsidR="00FE7E60">
              <w:rPr>
                <w:bCs w:val="0"/>
              </w:rPr>
              <w:t xml:space="preserve"> </w:t>
            </w:r>
            <w:r w:rsidR="00FE7E60">
              <w:rPr>
                <w:b/>
              </w:rPr>
              <w:t>actio</w:t>
            </w:r>
            <w:r w:rsidR="00A362E5">
              <w:rPr>
                <w:b/>
              </w:rPr>
              <w:t xml:space="preserve">ns clés (AC) </w:t>
            </w:r>
            <w:r w:rsidR="00A362E5">
              <w:rPr>
                <w:bCs w:val="0"/>
              </w:rPr>
              <w:t xml:space="preserve">pour atteindre les </w:t>
            </w:r>
            <w:r w:rsidR="00A362E5" w:rsidRPr="00FE7E60">
              <w:rPr>
                <w:b/>
                <w:bCs w:val="0"/>
              </w:rPr>
              <w:t>indicateurs clés</w:t>
            </w:r>
            <w:r w:rsidR="00A362E5">
              <w:rPr>
                <w:bCs w:val="0"/>
              </w:rPr>
              <w:t xml:space="preserve"> </w:t>
            </w:r>
            <w:r w:rsidR="00A362E5" w:rsidRPr="00FE7E60">
              <w:rPr>
                <w:b/>
                <w:bCs w:val="0"/>
              </w:rPr>
              <w:t>(IC)</w:t>
            </w:r>
            <w:r w:rsidR="00A362E5">
              <w:rPr>
                <w:bCs w:val="0"/>
              </w:rPr>
              <w:t xml:space="preserve"> des </w:t>
            </w:r>
            <w:r w:rsidR="00FE7E60" w:rsidRPr="00FE7E60">
              <w:rPr>
                <w:bCs w:val="0"/>
              </w:rPr>
              <w:t>s</w:t>
            </w:r>
            <w:r w:rsidR="00FE7E60" w:rsidRPr="00FE7E60">
              <w:t>tandards minimums</w:t>
            </w:r>
            <w:r w:rsidR="00A362E5">
              <w:rPr>
                <w:bCs w:val="0"/>
              </w:rPr>
              <w:t xml:space="preserve"> afin de mesurer si un </w:t>
            </w:r>
            <w:r w:rsidR="00FE7E60" w:rsidRPr="00FE7E60">
              <w:rPr>
                <w:bCs w:val="0"/>
              </w:rPr>
              <w:t>s</w:t>
            </w:r>
            <w:r w:rsidR="00FE7E60">
              <w:t>tandard</w:t>
            </w:r>
            <w:r w:rsidR="00FE7E60" w:rsidRPr="00FE7E60">
              <w:t xml:space="preserve"> minimums</w:t>
            </w:r>
            <w:r w:rsidR="00A362E5">
              <w:rPr>
                <w:bCs w:val="0"/>
              </w:rPr>
              <w:t xml:space="preserve"> a été atteint et des </w:t>
            </w:r>
            <w:r w:rsidR="00A362E5" w:rsidRPr="00FE7E60">
              <w:rPr>
                <w:b/>
                <w:bCs w:val="0"/>
              </w:rPr>
              <w:t>notes d</w:t>
            </w:r>
            <w:r w:rsidR="00994220" w:rsidRPr="00FE7E60">
              <w:rPr>
                <w:b/>
                <w:bCs w:val="0"/>
              </w:rPr>
              <w:t>’</w:t>
            </w:r>
            <w:r w:rsidR="00A362E5" w:rsidRPr="00FE7E60">
              <w:rPr>
                <w:b/>
                <w:bCs w:val="0"/>
              </w:rPr>
              <w:t>orientation</w:t>
            </w:r>
            <w:r w:rsidR="00A362E5">
              <w:rPr>
                <w:bCs w:val="0"/>
              </w:rPr>
              <w:t xml:space="preserve"> à prendre en compte lor</w:t>
            </w:r>
            <w:r w:rsidR="009E7D03">
              <w:rPr>
                <w:bCs w:val="0"/>
              </w:rPr>
              <w:t>s</w:t>
            </w:r>
            <w:r w:rsidR="00A362E5">
              <w:rPr>
                <w:bCs w:val="0"/>
              </w:rPr>
              <w:t>qu</w:t>
            </w:r>
            <w:r w:rsidR="00994220">
              <w:rPr>
                <w:bCs w:val="0"/>
              </w:rPr>
              <w:t>’</w:t>
            </w:r>
            <w:r w:rsidR="00A362E5">
              <w:rPr>
                <w:bCs w:val="0"/>
              </w:rPr>
              <w:t xml:space="preserve">on entend mener </w:t>
            </w:r>
            <w:r w:rsidR="00F52F67">
              <w:rPr>
                <w:bCs w:val="0"/>
              </w:rPr>
              <w:t>d</w:t>
            </w:r>
            <w:r w:rsidR="00A362E5">
              <w:rPr>
                <w:bCs w:val="0"/>
              </w:rPr>
              <w:t>es AC et atteindre les IC dans les :</w:t>
            </w:r>
          </w:p>
        </w:tc>
      </w:tr>
      <w:tr w:rsidR="00B45A0E" w:rsidRPr="00A608EC" w14:paraId="4ACB9462" w14:textId="77777777" w:rsidTr="00B45A0E">
        <w:trPr>
          <w:jc w:val="center"/>
        </w:trPr>
        <w:tc>
          <w:tcPr>
            <w:tcW w:w="5000" w:type="pct"/>
            <w:gridSpan w:val="6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</w:tcPr>
          <w:p w14:paraId="712C47CE" w14:textId="039ED2F8" w:rsidR="00B45A0E" w:rsidRDefault="00B45A0E" w:rsidP="001F455D">
            <w:pPr>
              <w:pStyle w:val="tableheading"/>
              <w:spacing w:after="80"/>
            </w:pPr>
            <w:r>
              <w:t>C</w:t>
            </w:r>
            <w:r w:rsidRPr="00B45A0E">
              <w:t>hapitres techniques</w:t>
            </w:r>
          </w:p>
        </w:tc>
      </w:tr>
      <w:tr w:rsidR="0073319C" w:rsidRPr="00A608EC" w14:paraId="0B0CC043" w14:textId="77777777" w:rsidTr="0073319C">
        <w:trPr>
          <w:jc w:val="center"/>
        </w:trPr>
        <w:tc>
          <w:tcPr>
            <w:tcW w:w="1381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1C71BB30" w14:textId="77777777" w:rsidR="00A362E5" w:rsidRPr="00F01CD1" w:rsidRDefault="00A362E5" w:rsidP="001F455D">
            <w:pPr>
              <w:pStyle w:val="tableheading"/>
              <w:spacing w:after="80"/>
            </w:pPr>
            <w:r>
              <w:t>WASH</w:t>
            </w:r>
          </w:p>
        </w:tc>
        <w:tc>
          <w:tcPr>
            <w:tcW w:w="1178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5226EBF7" w14:textId="77777777" w:rsidR="00A362E5" w:rsidRPr="00F01CD1" w:rsidRDefault="00A362E5" w:rsidP="001F455D">
            <w:pPr>
              <w:pStyle w:val="tableheading"/>
              <w:spacing w:after="80"/>
            </w:pPr>
            <w:r>
              <w:t>Alimentation</w:t>
            </w:r>
          </w:p>
        </w:tc>
        <w:tc>
          <w:tcPr>
            <w:tcW w:w="1032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3A37402B" w14:textId="77777777" w:rsidR="00A362E5" w:rsidRPr="00F01CD1" w:rsidRDefault="00A362E5" w:rsidP="001F455D">
            <w:pPr>
              <w:pStyle w:val="tableheading"/>
              <w:spacing w:after="80"/>
            </w:pPr>
            <w:r>
              <w:t>Abris/ANA</w:t>
            </w:r>
          </w:p>
        </w:tc>
        <w:tc>
          <w:tcPr>
            <w:tcW w:w="1409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E9F7CB" w:themeFill="background2" w:themeFillTint="33"/>
            <w:hideMark/>
          </w:tcPr>
          <w:p w14:paraId="74A57880" w14:textId="77777777" w:rsidR="00A362E5" w:rsidRPr="00F01CD1" w:rsidRDefault="00A362E5" w:rsidP="001F455D">
            <w:pPr>
              <w:pStyle w:val="tableheading"/>
              <w:spacing w:after="80"/>
            </w:pPr>
            <w:r>
              <w:t>Santé</w:t>
            </w:r>
          </w:p>
        </w:tc>
      </w:tr>
      <w:tr w:rsidR="0073319C" w:rsidRPr="00A608EC" w14:paraId="41D6BCA1" w14:textId="77777777" w:rsidTr="0073319C">
        <w:trPr>
          <w:trHeight w:val="2281"/>
          <w:jc w:val="center"/>
        </w:trPr>
        <w:tc>
          <w:tcPr>
            <w:tcW w:w="1381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  <w:hideMark/>
          </w:tcPr>
          <w:p w14:paraId="03388443" w14:textId="77777777" w:rsidR="00A362E5" w:rsidRPr="00F01CD1" w:rsidRDefault="00A362E5" w:rsidP="00FE7E60">
            <w:pPr>
              <w:pStyle w:val="tablebullet"/>
            </w:pPr>
            <w:r>
              <w:t>Approvisionnement en eau, assainissement et promotion de l</w:t>
            </w:r>
            <w:r w:rsidR="00994220">
              <w:t>’</w:t>
            </w:r>
            <w:r>
              <w:t>hygiène</w:t>
            </w:r>
          </w:p>
          <w:p w14:paraId="2A36C17A" w14:textId="77777777" w:rsidR="00A362E5" w:rsidRPr="00F01CD1" w:rsidRDefault="00A362E5" w:rsidP="00FE7E60">
            <w:pPr>
              <w:pStyle w:val="tablebullet"/>
            </w:pPr>
            <w:r>
              <w:t>Promotion de l</w:t>
            </w:r>
            <w:r w:rsidR="00994220">
              <w:t>’</w:t>
            </w:r>
            <w:r>
              <w:t>hygiène</w:t>
            </w:r>
          </w:p>
          <w:p w14:paraId="11A93593" w14:textId="77777777" w:rsidR="00A362E5" w:rsidRPr="00F01CD1" w:rsidRDefault="00A362E5" w:rsidP="00FE7E60">
            <w:pPr>
              <w:pStyle w:val="tablebullet"/>
            </w:pPr>
            <w:r>
              <w:t>Approvisionnement en eau</w:t>
            </w:r>
          </w:p>
          <w:p w14:paraId="23790120" w14:textId="77777777" w:rsidR="00A362E5" w:rsidRPr="00F01CD1" w:rsidRDefault="00A362E5" w:rsidP="00FE7E60">
            <w:pPr>
              <w:pStyle w:val="tablebullet"/>
            </w:pPr>
            <w:r>
              <w:t>Évacuation des excréments</w:t>
            </w:r>
          </w:p>
          <w:p w14:paraId="742CEF5B" w14:textId="77777777" w:rsidR="00A362E5" w:rsidRPr="00F01CD1" w:rsidRDefault="00A362E5" w:rsidP="00FE7E60">
            <w:pPr>
              <w:pStyle w:val="tablebullet"/>
            </w:pPr>
            <w:r>
              <w:t xml:space="preserve">Lutte </w:t>
            </w:r>
            <w:proofErr w:type="spellStart"/>
            <w:r>
              <w:t>antivectorielle</w:t>
            </w:r>
            <w:proofErr w:type="spellEnd"/>
          </w:p>
          <w:p w14:paraId="7AE761E1" w14:textId="77777777" w:rsidR="00A362E5" w:rsidRPr="00F01CD1" w:rsidRDefault="00A362E5" w:rsidP="00FE7E60">
            <w:pPr>
              <w:pStyle w:val="tablebullet"/>
            </w:pPr>
            <w:r>
              <w:t>Gestion des déchets solides</w:t>
            </w:r>
          </w:p>
          <w:p w14:paraId="19A2DD44" w14:textId="77777777" w:rsidR="00A362E5" w:rsidRPr="00F01CD1" w:rsidRDefault="00A362E5" w:rsidP="00FE7E60">
            <w:pPr>
              <w:pStyle w:val="tablebullet"/>
            </w:pPr>
            <w:r>
              <w:t xml:space="preserve">Drainage </w:t>
            </w:r>
          </w:p>
        </w:tc>
        <w:tc>
          <w:tcPr>
            <w:tcW w:w="1178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  <w:hideMark/>
          </w:tcPr>
          <w:p w14:paraId="180F3C2B" w14:textId="77777777" w:rsidR="00A362E5" w:rsidRPr="00F01CD1" w:rsidRDefault="00A362E5" w:rsidP="00FE7E60">
            <w:pPr>
              <w:pStyle w:val="tablebullet"/>
            </w:pPr>
            <w:r>
              <w:t>Évaluation de la sécurité alimentaire et de la nutrition</w:t>
            </w:r>
          </w:p>
          <w:p w14:paraId="1B83F585" w14:textId="77777777" w:rsidR="00A362E5" w:rsidRPr="00F01CD1" w:rsidRDefault="00A362E5" w:rsidP="00FE7E60">
            <w:pPr>
              <w:pStyle w:val="tablebullet"/>
            </w:pPr>
            <w:r>
              <w:t>Alimentation du nourrisson et du jeune enfant</w:t>
            </w:r>
          </w:p>
          <w:p w14:paraId="306EB620" w14:textId="77777777" w:rsidR="00A362E5" w:rsidRPr="00F01CD1" w:rsidRDefault="00A362E5" w:rsidP="00FE7E60">
            <w:pPr>
              <w:pStyle w:val="tablebullet"/>
            </w:pPr>
            <w:r>
              <w:t>Prise en charge de la malnutrition aiguë et des carences en micronutriments</w:t>
            </w:r>
          </w:p>
          <w:p w14:paraId="224DB60E" w14:textId="77777777" w:rsidR="00A362E5" w:rsidRPr="00F01CD1" w:rsidRDefault="00A362E5" w:rsidP="00FE7E60">
            <w:pPr>
              <w:pStyle w:val="tablebullet"/>
            </w:pPr>
            <w:r>
              <w:t>Sécurité alimentaire</w:t>
            </w:r>
          </w:p>
        </w:tc>
        <w:tc>
          <w:tcPr>
            <w:tcW w:w="1032" w:type="pct"/>
            <w:gridSpan w:val="2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  <w:hideMark/>
          </w:tcPr>
          <w:p w14:paraId="1A4DF50E" w14:textId="77777777" w:rsidR="00A362E5" w:rsidRPr="00F01CD1" w:rsidRDefault="00A362E5" w:rsidP="00FE7E60">
            <w:pPr>
              <w:pStyle w:val="tablebullet"/>
            </w:pPr>
            <w:r>
              <w:t>Abris et habitat</w:t>
            </w:r>
          </w:p>
          <w:p w14:paraId="3BBED5E1" w14:textId="77777777" w:rsidR="00A362E5" w:rsidRPr="00F01CD1" w:rsidRDefault="00A362E5" w:rsidP="00FE7E60">
            <w:pPr>
              <w:pStyle w:val="tablebullet"/>
            </w:pPr>
            <w:r>
              <w:t xml:space="preserve">Articles non alimentaires : </w:t>
            </w:r>
            <w:r w:rsidR="000B16ED">
              <w:t>v</w:t>
            </w:r>
            <w:r>
              <w:t>êtements, matériel de couchage et articles ménagers</w:t>
            </w:r>
          </w:p>
        </w:tc>
        <w:tc>
          <w:tcPr>
            <w:tcW w:w="1409" w:type="pct"/>
            <w:tcBorders>
              <w:top w:val="single" w:sz="4" w:space="0" w:color="579305" w:themeColor="accent1"/>
              <w:left w:val="single" w:sz="4" w:space="0" w:color="579305" w:themeColor="accent1"/>
              <w:bottom w:val="single" w:sz="4" w:space="0" w:color="579305" w:themeColor="accent1"/>
              <w:right w:val="single" w:sz="4" w:space="0" w:color="579305" w:themeColor="accent1"/>
            </w:tcBorders>
            <w:shd w:val="clear" w:color="auto" w:fill="auto"/>
          </w:tcPr>
          <w:p w14:paraId="231FF0A2" w14:textId="77777777" w:rsidR="00A362E5" w:rsidRPr="00F01CD1" w:rsidRDefault="00A362E5" w:rsidP="00FE7E60">
            <w:pPr>
              <w:pStyle w:val="tablebullet"/>
            </w:pPr>
            <w:r>
              <w:t>Systèmes de santé</w:t>
            </w:r>
          </w:p>
          <w:p w14:paraId="1B5F2CCD" w14:textId="77777777" w:rsidR="00A362E5" w:rsidRDefault="00A362E5" w:rsidP="00FE7E60">
            <w:pPr>
              <w:pStyle w:val="tablebullet"/>
            </w:pPr>
            <w:r>
              <w:t>Services de santé essentiels</w:t>
            </w:r>
          </w:p>
          <w:p w14:paraId="2D4685EC" w14:textId="77777777" w:rsidR="00A362E5" w:rsidRPr="0073319C" w:rsidRDefault="00A362E5" w:rsidP="00700081">
            <w:pPr>
              <w:pStyle w:val="tablesubbullet"/>
            </w:pPr>
            <w:r>
              <w:t>Lutt</w:t>
            </w:r>
            <w:r w:rsidRPr="0073319C">
              <w:t>e contre les maladies transmissibles</w:t>
            </w:r>
          </w:p>
          <w:p w14:paraId="058C7339" w14:textId="77777777" w:rsidR="00A362E5" w:rsidRPr="0073319C" w:rsidRDefault="00A362E5" w:rsidP="00700081">
            <w:pPr>
              <w:pStyle w:val="tablesubbullet"/>
            </w:pPr>
            <w:r w:rsidRPr="0073319C">
              <w:t>Santé infantile</w:t>
            </w:r>
          </w:p>
          <w:p w14:paraId="782D05EE" w14:textId="77777777" w:rsidR="00A362E5" w:rsidRPr="0073319C" w:rsidRDefault="00A362E5" w:rsidP="00700081">
            <w:pPr>
              <w:pStyle w:val="tablesubbullet"/>
            </w:pPr>
            <w:r w:rsidRPr="0073319C">
              <w:t>Santé sexuelle et génésique</w:t>
            </w:r>
          </w:p>
          <w:p w14:paraId="72496C73" w14:textId="77777777" w:rsidR="00A362E5" w:rsidRPr="0073319C" w:rsidRDefault="00A362E5" w:rsidP="00700081">
            <w:pPr>
              <w:pStyle w:val="tablesubbullet"/>
            </w:pPr>
            <w:r w:rsidRPr="0073319C">
              <w:t>Traumatismes</w:t>
            </w:r>
          </w:p>
          <w:p w14:paraId="05D274B0" w14:textId="77777777" w:rsidR="00A362E5" w:rsidRPr="0073319C" w:rsidRDefault="00A362E5" w:rsidP="00700081">
            <w:pPr>
              <w:pStyle w:val="tablesubbullet"/>
            </w:pPr>
            <w:r w:rsidRPr="0073319C">
              <w:t>Santé mentale</w:t>
            </w:r>
          </w:p>
          <w:p w14:paraId="75D32F9E" w14:textId="77777777" w:rsidR="00A362E5" w:rsidRPr="00F01CD1" w:rsidRDefault="00A362E5" w:rsidP="00700081">
            <w:pPr>
              <w:pStyle w:val="tablesubbullet"/>
            </w:pPr>
            <w:r w:rsidRPr="0073319C">
              <w:t xml:space="preserve">Maladies non </w:t>
            </w:r>
            <w:r>
              <w:t>transmissibles</w:t>
            </w:r>
          </w:p>
        </w:tc>
      </w:tr>
    </w:tbl>
    <w:p w14:paraId="660F4C9F" w14:textId="4E6B9AE8" w:rsidR="00EB55E6" w:rsidRPr="00B45A0E" w:rsidRDefault="00EB55E6" w:rsidP="00B45A0E">
      <w:pPr>
        <w:spacing w:before="160"/>
        <w:jc w:val="right"/>
        <w:rPr>
          <w:i/>
        </w:rPr>
      </w:pPr>
      <w:r w:rsidRPr="00B45A0E">
        <w:rPr>
          <w:i/>
        </w:rPr>
        <w:t>© Oliver Hoffman</w:t>
      </w:r>
      <w:r w:rsidR="0095745B">
        <w:rPr>
          <w:i/>
        </w:rPr>
        <w:t>n</w:t>
      </w:r>
      <w:r w:rsidRPr="00B45A0E">
        <w:rPr>
          <w:i/>
        </w:rPr>
        <w:t xml:space="preserve">, </w:t>
      </w:r>
      <w:proofErr w:type="spellStart"/>
      <w:r w:rsidR="007C221E" w:rsidRPr="00B45A0E">
        <w:rPr>
          <w:i/>
        </w:rPr>
        <w:t>Johanniter</w:t>
      </w:r>
      <w:proofErr w:type="spellEnd"/>
      <w:r w:rsidR="007C221E" w:rsidRPr="00B45A0E">
        <w:rPr>
          <w:i/>
        </w:rPr>
        <w:t xml:space="preserve"> International Assistance</w:t>
      </w:r>
    </w:p>
    <w:sectPr w:rsidR="00EB55E6" w:rsidRPr="00B45A0E" w:rsidSect="00F516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247" w:bottom="851" w:left="1247" w:header="709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E17853" w14:textId="77777777" w:rsidR="0073319C" w:rsidRDefault="0073319C" w:rsidP="002848CC">
      <w:pPr>
        <w:spacing w:before="0"/>
      </w:pPr>
      <w:r>
        <w:separator/>
      </w:r>
    </w:p>
  </w:endnote>
  <w:endnote w:type="continuationSeparator" w:id="0">
    <w:p w14:paraId="0D0EBF06" w14:textId="77777777" w:rsidR="0073319C" w:rsidRDefault="0073319C" w:rsidP="002848C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821A20" w14:textId="77777777" w:rsidR="0073319C" w:rsidRPr="004F1D9A" w:rsidRDefault="0073319C" w:rsidP="00F51600">
    <w:pPr>
      <w:pStyle w:val="Footer"/>
    </w:pPr>
    <w:r>
      <w:rPr>
        <w:bCs w:val="0"/>
      </w:rPr>
      <w:t>Module B3 : Sphère, Réduction des risques de catastrophe/Gestion et résilience. Dossier de formation Sphère 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63C1A4" w14:textId="77777777" w:rsidR="0073319C" w:rsidRPr="00F51600" w:rsidRDefault="0073319C" w:rsidP="00F51600">
    <w:pPr>
      <w:pStyle w:val="Footer"/>
    </w:pPr>
    <w:r>
      <w:rPr>
        <w:bCs w:val="0"/>
      </w:rPr>
      <w:t>Module A1 – Sphère : tour d'horizon</w:t>
    </w:r>
    <w:r>
      <w:rPr>
        <w:bCs w:val="0"/>
      </w:rPr>
      <w:tab/>
      <w:t>Cours de formation Sphère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7D362" w14:textId="77777777" w:rsidR="0073319C" w:rsidRPr="00F51600" w:rsidRDefault="0073319C" w:rsidP="00891199">
    <w:pPr>
      <w:pStyle w:val="Footer"/>
    </w:pPr>
    <w:r>
      <w:rPr>
        <w:bCs w:val="0"/>
      </w:rPr>
      <w:t>Module A1 – Sphère : tour d'horizon</w:t>
    </w:r>
    <w:r>
      <w:rPr>
        <w:bCs w:val="0"/>
      </w:rPr>
      <w:tab/>
      <w:t>Cours de formation Sphère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0AF22" w14:textId="77777777" w:rsidR="0073319C" w:rsidRDefault="0073319C" w:rsidP="002848CC">
      <w:pPr>
        <w:spacing w:before="0"/>
      </w:pPr>
      <w:r>
        <w:separator/>
      </w:r>
    </w:p>
  </w:footnote>
  <w:footnote w:type="continuationSeparator" w:id="0">
    <w:p w14:paraId="51ACE967" w14:textId="77777777" w:rsidR="0073319C" w:rsidRDefault="0073319C" w:rsidP="002848C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472305" w14:textId="77777777" w:rsidR="0073319C" w:rsidRPr="004F1D9A" w:rsidRDefault="0073319C" w:rsidP="00891199">
    <w:pPr>
      <w:pStyle w:val="Header"/>
    </w:pPr>
    <w:r>
      <w:t>Fiches à distribuer</w:t>
    </w:r>
    <w:r>
      <w:rPr>
        <w:b w:val="0"/>
        <w:bCs w:val="0"/>
      </w:rPr>
      <w:tab/>
    </w:r>
    <w:r>
      <w:rPr>
        <w:b w:val="0"/>
        <w:bCs w:val="0"/>
        <w:noProof/>
        <w:lang w:val="en-GB" w:eastAsia="en-GB"/>
      </w:rPr>
      <w:drawing>
        <wp:inline distT="0" distB="0" distL="0" distR="0" wp14:anchorId="622ECAE3" wp14:editId="382A3EA8">
          <wp:extent cx="1859799" cy="381992"/>
          <wp:effectExtent l="0" t="0" r="0" b="0"/>
          <wp:docPr id="6" name="Picture 6" descr="Files:Current Client:Walkgrove:Sphere:Sphere examples and guidelines:Visual_guidelines_and_materials:HANDBOOK ICONS:Sphere-Project-Logo-Landscape-No-Tagline-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iles:Current Client:Walkgrove:Sphere:Sphere examples and guidelines:Visual_guidelines_and_materials:HANDBOOK ICONS:Sphere-Project-Logo-Landscape-No-Tagline-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2427" cy="3825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C84C4" w14:textId="77777777" w:rsidR="0073319C" w:rsidRPr="00175CA3" w:rsidRDefault="0073319C" w:rsidP="00891199">
    <w:pPr>
      <w:pStyle w:val="Header"/>
    </w:pPr>
    <w:r>
      <w:t>Fiches à distribuer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54968" w14:textId="77777777" w:rsidR="0073319C" w:rsidRPr="003E013F" w:rsidRDefault="0073319C" w:rsidP="00F51600">
    <w:pPr>
      <w:pStyle w:val="Heading1"/>
    </w:pPr>
    <w:r>
      <w:t>Module A1 – Sphère : tour d'horizon</w:t>
    </w:r>
    <w:r>
      <w:tab/>
    </w:r>
    <w:r w:rsidRPr="009C60AC">
      <w:rPr>
        <w:color w:val="579305" w:themeColor="accent1"/>
        <w:szCs w:val="28"/>
      </w:rPr>
      <w:t>Fiches à distribuer</w:t>
    </w:r>
  </w:p>
  <w:p w14:paraId="457DE675" w14:textId="77777777" w:rsidR="0073319C" w:rsidRPr="00792B8B" w:rsidRDefault="0073319C" w:rsidP="00F51600">
    <w:pPr>
      <w:pStyle w:val="Heading2"/>
      <w:pBdr>
        <w:bottom w:val="single" w:sz="4" w:space="4" w:color="004386" w:themeColor="text2"/>
      </w:pBdr>
      <w:spacing w:after="0"/>
    </w:pPr>
    <w:r>
      <w:rPr>
        <w:bCs w:val="0"/>
        <w:iCs/>
      </w:rPr>
      <w:t>Qu’est-ce que le Projet Sphère ?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singleLevel"/>
    <w:tmpl w:val="C4D47E64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0"/>
      </w:rPr>
    </w:lvl>
  </w:abstractNum>
  <w:abstractNum w:abstractNumId="1">
    <w:nsid w:val="00B714E7"/>
    <w:multiLevelType w:val="hybridMultilevel"/>
    <w:tmpl w:val="4AD08D6C"/>
    <w:lvl w:ilvl="0" w:tplc="885824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082DCA"/>
    <w:multiLevelType w:val="hybridMultilevel"/>
    <w:tmpl w:val="C1EAB630"/>
    <w:lvl w:ilvl="0" w:tplc="97CCFBDE">
      <w:start w:val="1"/>
      <w:numFmt w:val="bullet"/>
      <w:pStyle w:val="subbullet"/>
      <w:lvlText w:val="–"/>
      <w:lvlJc w:val="left"/>
      <w:pPr>
        <w:ind w:left="284" w:hanging="284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B019C8"/>
    <w:multiLevelType w:val="hybridMultilevel"/>
    <w:tmpl w:val="F886D154"/>
    <w:lvl w:ilvl="0" w:tplc="28F82D38">
      <w:start w:val="1"/>
      <w:numFmt w:val="bullet"/>
      <w:pStyle w:val="tablesub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color w:val="0065A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6210F"/>
    <w:multiLevelType w:val="multilevel"/>
    <w:tmpl w:val="583A294C"/>
    <w:lvl w:ilvl="0">
      <w:start w:val="1"/>
      <w:numFmt w:val="decimal"/>
      <w:lvlText w:val="%1."/>
      <w:lvlJc w:val="left"/>
      <w:pPr>
        <w:ind w:left="708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2160"/>
      </w:pPr>
      <w:rPr>
        <w:rFonts w:hint="default"/>
      </w:rPr>
    </w:lvl>
  </w:abstractNum>
  <w:abstractNum w:abstractNumId="5">
    <w:nsid w:val="0F881074"/>
    <w:multiLevelType w:val="hybridMultilevel"/>
    <w:tmpl w:val="B4024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0D7DD3"/>
    <w:multiLevelType w:val="hybridMultilevel"/>
    <w:tmpl w:val="0DC22FB2"/>
    <w:lvl w:ilvl="0" w:tplc="BD68BE1C">
      <w:start w:val="1"/>
      <w:numFmt w:val="bullet"/>
      <w:pStyle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25672F"/>
    <w:multiLevelType w:val="hybridMultilevel"/>
    <w:tmpl w:val="5882EF42"/>
    <w:lvl w:ilvl="0" w:tplc="A6F0BB26">
      <w:start w:val="1"/>
      <w:numFmt w:val="bullet"/>
      <w:pStyle w:val="table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4385D"/>
    <w:multiLevelType w:val="hybridMultilevel"/>
    <w:tmpl w:val="0916F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6B6F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BF76566"/>
    <w:multiLevelType w:val="hybridMultilevel"/>
    <w:tmpl w:val="9C981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3452C8"/>
    <w:multiLevelType w:val="hybridMultilevel"/>
    <w:tmpl w:val="25AA2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80635"/>
    <w:multiLevelType w:val="multilevel"/>
    <w:tmpl w:val="0DC22FB2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004386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785B9B"/>
    <w:multiLevelType w:val="hybridMultilevel"/>
    <w:tmpl w:val="2AD226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1"/>
  </w:num>
  <w:num w:numId="8">
    <w:abstractNumId w:val="13"/>
  </w:num>
  <w:num w:numId="9">
    <w:abstractNumId w:val="8"/>
  </w:num>
  <w:num w:numId="10">
    <w:abstractNumId w:val="11"/>
  </w:num>
  <w:num w:numId="11">
    <w:abstractNumId w:val="5"/>
  </w:num>
  <w:num w:numId="12">
    <w:abstractNumId w:val="10"/>
  </w:num>
  <w:num w:numId="13">
    <w:abstractNumId w:val="9"/>
  </w:num>
  <w:num w:numId="14">
    <w:abstractNumId w:val="6"/>
  </w:num>
  <w:num w:numId="15">
    <w:abstractNumId w:val="7"/>
  </w:num>
  <w:num w:numId="16">
    <w:abstractNumId w:val="6"/>
  </w:num>
  <w:num w:numId="17">
    <w:abstractNumId w:val="7"/>
  </w:num>
  <w:num w:numId="18">
    <w:abstractNumId w:val="12"/>
  </w:num>
  <w:num w:numId="19">
    <w:abstractNumId w:val="2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146"/>
    <w:rsid w:val="000B16ED"/>
    <w:rsid w:val="000F19F8"/>
    <w:rsid w:val="0013229F"/>
    <w:rsid w:val="00144112"/>
    <w:rsid w:val="0015588F"/>
    <w:rsid w:val="00164B4E"/>
    <w:rsid w:val="001713BA"/>
    <w:rsid w:val="001737A1"/>
    <w:rsid w:val="001740C0"/>
    <w:rsid w:val="00175CA3"/>
    <w:rsid w:val="001869EC"/>
    <w:rsid w:val="001C0669"/>
    <w:rsid w:val="001C7F2F"/>
    <w:rsid w:val="001D0724"/>
    <w:rsid w:val="001D7A65"/>
    <w:rsid w:val="001E1BE3"/>
    <w:rsid w:val="001F455D"/>
    <w:rsid w:val="001F7F75"/>
    <w:rsid w:val="00200D4D"/>
    <w:rsid w:val="00205074"/>
    <w:rsid w:val="002201FF"/>
    <w:rsid w:val="00237D09"/>
    <w:rsid w:val="00241992"/>
    <w:rsid w:val="00274BC6"/>
    <w:rsid w:val="00281C83"/>
    <w:rsid w:val="002848CC"/>
    <w:rsid w:val="002933E5"/>
    <w:rsid w:val="002958E2"/>
    <w:rsid w:val="002D1D45"/>
    <w:rsid w:val="002D3B86"/>
    <w:rsid w:val="002F2B87"/>
    <w:rsid w:val="0030064E"/>
    <w:rsid w:val="00314ADC"/>
    <w:rsid w:val="00315E11"/>
    <w:rsid w:val="00370153"/>
    <w:rsid w:val="003909B1"/>
    <w:rsid w:val="003918D7"/>
    <w:rsid w:val="003A4483"/>
    <w:rsid w:val="003C469E"/>
    <w:rsid w:val="003C5331"/>
    <w:rsid w:val="003E013F"/>
    <w:rsid w:val="003E2279"/>
    <w:rsid w:val="003E2DB9"/>
    <w:rsid w:val="003F0EB3"/>
    <w:rsid w:val="004161D3"/>
    <w:rsid w:val="004231C3"/>
    <w:rsid w:val="0043797B"/>
    <w:rsid w:val="0045590B"/>
    <w:rsid w:val="00463DB5"/>
    <w:rsid w:val="004D7062"/>
    <w:rsid w:val="004F1D9A"/>
    <w:rsid w:val="0050225B"/>
    <w:rsid w:val="00525040"/>
    <w:rsid w:val="005751FD"/>
    <w:rsid w:val="005848E9"/>
    <w:rsid w:val="005F6AEE"/>
    <w:rsid w:val="00601FF7"/>
    <w:rsid w:val="00620E7C"/>
    <w:rsid w:val="0063519D"/>
    <w:rsid w:val="00637110"/>
    <w:rsid w:val="00690F64"/>
    <w:rsid w:val="006C099B"/>
    <w:rsid w:val="006D149B"/>
    <w:rsid w:val="006E74C4"/>
    <w:rsid w:val="00700081"/>
    <w:rsid w:val="007030AE"/>
    <w:rsid w:val="00714CE1"/>
    <w:rsid w:val="00715CA8"/>
    <w:rsid w:val="00731755"/>
    <w:rsid w:val="0073319C"/>
    <w:rsid w:val="007577CE"/>
    <w:rsid w:val="00761400"/>
    <w:rsid w:val="00775878"/>
    <w:rsid w:val="00781146"/>
    <w:rsid w:val="00792B8B"/>
    <w:rsid w:val="007A255B"/>
    <w:rsid w:val="007A4412"/>
    <w:rsid w:val="007A7ACB"/>
    <w:rsid w:val="007B3E00"/>
    <w:rsid w:val="007C221E"/>
    <w:rsid w:val="007E479A"/>
    <w:rsid w:val="00810AFF"/>
    <w:rsid w:val="00811B63"/>
    <w:rsid w:val="00816A31"/>
    <w:rsid w:val="00825D04"/>
    <w:rsid w:val="008260A5"/>
    <w:rsid w:val="0085173D"/>
    <w:rsid w:val="008647F3"/>
    <w:rsid w:val="008652CA"/>
    <w:rsid w:val="0087787A"/>
    <w:rsid w:val="00891199"/>
    <w:rsid w:val="008B4444"/>
    <w:rsid w:val="008B7D3C"/>
    <w:rsid w:val="008C4F7E"/>
    <w:rsid w:val="008F7DE8"/>
    <w:rsid w:val="0090172B"/>
    <w:rsid w:val="0090692F"/>
    <w:rsid w:val="00925784"/>
    <w:rsid w:val="00937519"/>
    <w:rsid w:val="009516C3"/>
    <w:rsid w:val="0095745B"/>
    <w:rsid w:val="00971AD2"/>
    <w:rsid w:val="00981544"/>
    <w:rsid w:val="0098193F"/>
    <w:rsid w:val="00994220"/>
    <w:rsid w:val="00995549"/>
    <w:rsid w:val="009C60AC"/>
    <w:rsid w:val="009C6C4F"/>
    <w:rsid w:val="009D6A86"/>
    <w:rsid w:val="009D7027"/>
    <w:rsid w:val="009E270C"/>
    <w:rsid w:val="009E7D03"/>
    <w:rsid w:val="00A3052D"/>
    <w:rsid w:val="00A362E5"/>
    <w:rsid w:val="00A45A89"/>
    <w:rsid w:val="00A46634"/>
    <w:rsid w:val="00A80DF5"/>
    <w:rsid w:val="00A93E89"/>
    <w:rsid w:val="00A95124"/>
    <w:rsid w:val="00AB088B"/>
    <w:rsid w:val="00AC2373"/>
    <w:rsid w:val="00AD30D2"/>
    <w:rsid w:val="00AD34DC"/>
    <w:rsid w:val="00AF36C0"/>
    <w:rsid w:val="00B17F4D"/>
    <w:rsid w:val="00B40995"/>
    <w:rsid w:val="00B45A0E"/>
    <w:rsid w:val="00B54005"/>
    <w:rsid w:val="00B572C2"/>
    <w:rsid w:val="00B70E34"/>
    <w:rsid w:val="00B91AAC"/>
    <w:rsid w:val="00BC016F"/>
    <w:rsid w:val="00BE3D5B"/>
    <w:rsid w:val="00C0309C"/>
    <w:rsid w:val="00C32D00"/>
    <w:rsid w:val="00C35B0F"/>
    <w:rsid w:val="00C507F3"/>
    <w:rsid w:val="00C97C66"/>
    <w:rsid w:val="00CC4E6C"/>
    <w:rsid w:val="00CF6E12"/>
    <w:rsid w:val="00D064C5"/>
    <w:rsid w:val="00D221A6"/>
    <w:rsid w:val="00D34FFC"/>
    <w:rsid w:val="00D54219"/>
    <w:rsid w:val="00D56B1F"/>
    <w:rsid w:val="00D73B07"/>
    <w:rsid w:val="00D90736"/>
    <w:rsid w:val="00DB0112"/>
    <w:rsid w:val="00DD0F73"/>
    <w:rsid w:val="00DE202F"/>
    <w:rsid w:val="00DE210D"/>
    <w:rsid w:val="00DE21D3"/>
    <w:rsid w:val="00DE3A33"/>
    <w:rsid w:val="00DF2534"/>
    <w:rsid w:val="00E15219"/>
    <w:rsid w:val="00E2620E"/>
    <w:rsid w:val="00E26D30"/>
    <w:rsid w:val="00E61C01"/>
    <w:rsid w:val="00E71C66"/>
    <w:rsid w:val="00E8474E"/>
    <w:rsid w:val="00EA1F0B"/>
    <w:rsid w:val="00EB14C9"/>
    <w:rsid w:val="00EB55E6"/>
    <w:rsid w:val="00EE140F"/>
    <w:rsid w:val="00EE535D"/>
    <w:rsid w:val="00F25952"/>
    <w:rsid w:val="00F51600"/>
    <w:rsid w:val="00F52152"/>
    <w:rsid w:val="00F52F67"/>
    <w:rsid w:val="00F66ABC"/>
    <w:rsid w:val="00F67F82"/>
    <w:rsid w:val="00F97BB3"/>
    <w:rsid w:val="00FA7F78"/>
    <w:rsid w:val="00FC30FB"/>
    <w:rsid w:val="00FE7E60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F888A9"/>
  <w15:docId w15:val="{44EE39F9-5D10-4420-A265-3CD57687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"/>
    <w:qFormat/>
    <w:rsid w:val="00B45A0E"/>
    <w:pPr>
      <w:spacing w:before="80" w:line="220" w:lineRule="atLeast"/>
    </w:pPr>
    <w:rPr>
      <w:bCs/>
      <w:szCs w:val="24"/>
      <w:lang w:eastAsia="es-ES"/>
    </w:rPr>
  </w:style>
  <w:style w:type="paragraph" w:styleId="Heading1">
    <w:name w:val="heading 1"/>
    <w:aliases w:val="h1"/>
    <w:basedOn w:val="Normal"/>
    <w:next w:val="Normal"/>
    <w:link w:val="Heading1Char"/>
    <w:qFormat/>
    <w:rsid w:val="00891199"/>
    <w:pPr>
      <w:keepNext/>
      <w:tabs>
        <w:tab w:val="right" w:pos="9356"/>
      </w:tabs>
      <w:spacing w:before="0" w:line="240" w:lineRule="auto"/>
      <w:outlineLvl w:val="0"/>
    </w:pPr>
    <w:rPr>
      <w:rFonts w:ascii="Tahoma" w:eastAsiaTheme="majorEastAsia" w:hAnsi="Tahoma" w:cs="Tahoma"/>
      <w:b/>
      <w:color w:val="004386"/>
      <w:kern w:val="32"/>
      <w:sz w:val="28"/>
      <w:szCs w:val="32"/>
    </w:rPr>
  </w:style>
  <w:style w:type="paragraph" w:styleId="Heading2">
    <w:name w:val="heading 2"/>
    <w:aliases w:val="h2"/>
    <w:basedOn w:val="Heading1"/>
    <w:next w:val="Normal"/>
    <w:link w:val="Heading2Char"/>
    <w:qFormat/>
    <w:rsid w:val="004231C3"/>
    <w:pPr>
      <w:spacing w:before="160" w:after="400"/>
      <w:outlineLvl w:val="1"/>
    </w:pPr>
    <w:rPr>
      <w:rFonts w:cs="Arial"/>
      <w:b w:val="0"/>
      <w:i/>
      <w:color w:val="004386" w:themeColor="text2"/>
      <w:sz w:val="24"/>
    </w:rPr>
  </w:style>
  <w:style w:type="paragraph" w:styleId="Heading3">
    <w:name w:val="heading 3"/>
    <w:aliases w:val="h3"/>
    <w:basedOn w:val="Heading2"/>
    <w:next w:val="Normal"/>
    <w:link w:val="Heading3Char"/>
    <w:qFormat/>
    <w:rsid w:val="005848E9"/>
    <w:pPr>
      <w:spacing w:after="0"/>
      <w:outlineLvl w:val="2"/>
    </w:pPr>
    <w:rPr>
      <w:b/>
      <w:i w:val="0"/>
      <w:sz w:val="22"/>
      <w:szCs w:val="24"/>
    </w:rPr>
  </w:style>
  <w:style w:type="paragraph" w:styleId="Heading4">
    <w:name w:val="heading 4"/>
    <w:aliases w:val="h4"/>
    <w:basedOn w:val="Heading3"/>
    <w:next w:val="Normal"/>
    <w:link w:val="Heading4Char"/>
    <w:uiPriority w:val="9"/>
    <w:unhideWhenUsed/>
    <w:qFormat/>
    <w:rsid w:val="00F51600"/>
    <w:pPr>
      <w:keepLines/>
      <w:spacing w:after="160"/>
      <w:outlineLvl w:val="3"/>
    </w:pPr>
    <w:rPr>
      <w:rFonts w:cstheme="majorBidi"/>
    </w:rPr>
  </w:style>
  <w:style w:type="paragraph" w:styleId="Heading5">
    <w:name w:val="heading 5"/>
    <w:basedOn w:val="Normal"/>
    <w:next w:val="Normal"/>
    <w:link w:val="Heading5Char"/>
    <w:qFormat/>
    <w:rsid w:val="00205074"/>
    <w:pPr>
      <w:spacing w:before="240" w:after="60"/>
      <w:outlineLvl w:val="4"/>
    </w:pPr>
    <w:rPr>
      <w:b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891199"/>
    <w:rPr>
      <w:rFonts w:ascii="Tahoma" w:eastAsiaTheme="majorEastAsia" w:hAnsi="Tahoma" w:cs="Tahoma"/>
      <w:b/>
      <w:bCs/>
      <w:color w:val="004386"/>
      <w:kern w:val="32"/>
      <w:sz w:val="28"/>
      <w:szCs w:val="32"/>
      <w:lang w:val="en-GB" w:eastAsia="es-ES"/>
    </w:rPr>
  </w:style>
  <w:style w:type="character" w:customStyle="1" w:styleId="Heading2Char">
    <w:name w:val="Heading 2 Char"/>
    <w:aliases w:val="h2 Char"/>
    <w:basedOn w:val="DefaultParagraphFont"/>
    <w:link w:val="Heading2"/>
    <w:rsid w:val="004231C3"/>
    <w:rPr>
      <w:rFonts w:ascii="Tahoma" w:eastAsiaTheme="majorEastAsia" w:hAnsi="Tahoma" w:cs="Arial"/>
      <w:bCs/>
      <w:i/>
      <w:color w:val="004386" w:themeColor="text2"/>
      <w:kern w:val="32"/>
      <w:sz w:val="24"/>
      <w:szCs w:val="32"/>
      <w:lang w:val="en-GB" w:eastAsia="es-ES"/>
    </w:rPr>
  </w:style>
  <w:style w:type="character" w:customStyle="1" w:styleId="Heading3Char">
    <w:name w:val="Heading 3 Char"/>
    <w:aliases w:val="h3 Char"/>
    <w:basedOn w:val="DefaultParagraphFont"/>
    <w:link w:val="Heading3"/>
    <w:rsid w:val="005848E9"/>
    <w:rPr>
      <w:rFonts w:ascii="Tahoma" w:eastAsiaTheme="majorEastAsia" w:hAnsi="Tahoma" w:cs="Arial"/>
      <w:b/>
      <w:bCs/>
      <w:color w:val="004386" w:themeColor="text2"/>
      <w:kern w:val="32"/>
      <w:sz w:val="22"/>
      <w:szCs w:val="24"/>
      <w:lang w:val="en-GB" w:eastAsia="es-ES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F51600"/>
    <w:rPr>
      <w:rFonts w:ascii="Tahoma" w:eastAsiaTheme="majorEastAsia" w:hAnsi="Tahoma" w:cstheme="majorBidi"/>
      <w:b/>
      <w:bCs/>
      <w:color w:val="004386" w:themeColor="text2"/>
      <w:kern w:val="32"/>
      <w:sz w:val="24"/>
      <w:szCs w:val="24"/>
      <w:lang w:val="en-GB" w:eastAsia="es-ES"/>
    </w:rPr>
  </w:style>
  <w:style w:type="character" w:customStyle="1" w:styleId="Heading5Char">
    <w:name w:val="Heading 5 Char"/>
    <w:basedOn w:val="DefaultParagraphFont"/>
    <w:link w:val="Heading5"/>
    <w:rsid w:val="00205074"/>
    <w:rPr>
      <w:b/>
      <w:bCs/>
      <w:i/>
      <w:iCs/>
      <w:sz w:val="26"/>
      <w:szCs w:val="26"/>
      <w:lang w:val="en-US" w:eastAsia="es-ES"/>
    </w:rPr>
  </w:style>
  <w:style w:type="paragraph" w:styleId="Caption">
    <w:name w:val="caption"/>
    <w:basedOn w:val="Normal"/>
    <w:next w:val="Normal"/>
    <w:uiPriority w:val="35"/>
    <w:unhideWhenUsed/>
    <w:qFormat/>
    <w:rsid w:val="00205074"/>
    <w:pPr>
      <w:spacing w:before="0" w:after="200"/>
    </w:pPr>
    <w:rPr>
      <w:rFonts w:eastAsiaTheme="minorHAnsi" w:cstheme="minorBidi"/>
      <w:b/>
      <w:color w:val="579305" w:themeColor="accent1"/>
      <w:sz w:val="18"/>
      <w:szCs w:val="18"/>
      <w:lang w:eastAsia="en-US"/>
    </w:rPr>
  </w:style>
  <w:style w:type="character" w:styleId="Emphasis">
    <w:name w:val="Emphasis"/>
    <w:qFormat/>
    <w:rsid w:val="00205074"/>
    <w:rPr>
      <w:b/>
      <w:i w:val="0"/>
      <w:iCs/>
    </w:rPr>
  </w:style>
  <w:style w:type="table" w:styleId="TableGrid">
    <w:name w:val="Table Grid"/>
    <w:basedOn w:val="TableNormal"/>
    <w:uiPriority w:val="59"/>
    <w:rsid w:val="002050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5074"/>
    <w:rPr>
      <w:color w:val="00438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5074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5074"/>
    <w:rPr>
      <w:rFonts w:cs="Tahoma"/>
      <w:bCs/>
      <w:sz w:val="16"/>
      <w:szCs w:val="16"/>
      <w:lang w:val="en-US" w:eastAsia="es-ES"/>
    </w:rPr>
  </w:style>
  <w:style w:type="paragraph" w:customStyle="1" w:styleId="table">
    <w:name w:val="table"/>
    <w:aliases w:val="t"/>
    <w:basedOn w:val="Normal"/>
    <w:qFormat/>
    <w:rsid w:val="00B45A0E"/>
    <w:pPr>
      <w:spacing w:before="40" w:after="40" w:line="240" w:lineRule="auto"/>
    </w:pPr>
  </w:style>
  <w:style w:type="paragraph" w:customStyle="1" w:styleId="tableheading">
    <w:name w:val="table heading"/>
    <w:aliases w:val="th"/>
    <w:basedOn w:val="table"/>
    <w:qFormat/>
    <w:rsid w:val="00B45A0E"/>
    <w:pPr>
      <w:keepNext/>
      <w:spacing w:before="80"/>
      <w:jc w:val="center"/>
    </w:pPr>
    <w:rPr>
      <w:rFonts w:ascii="Tahoma" w:hAnsi="Tahoma"/>
      <w:b/>
      <w:color w:val="004386" w:themeColor="text2"/>
      <w:szCs w:val="22"/>
    </w:rPr>
  </w:style>
  <w:style w:type="paragraph" w:customStyle="1" w:styleId="bullet">
    <w:name w:val="bullet"/>
    <w:aliases w:val="b"/>
    <w:basedOn w:val="Normal"/>
    <w:qFormat/>
    <w:rsid w:val="00205074"/>
    <w:pPr>
      <w:numPr>
        <w:numId w:val="16"/>
      </w:numPr>
    </w:pPr>
  </w:style>
  <w:style w:type="paragraph" w:customStyle="1" w:styleId="tablebullet">
    <w:name w:val="table bullet"/>
    <w:aliases w:val="tb"/>
    <w:basedOn w:val="table"/>
    <w:qFormat/>
    <w:rsid w:val="00FE7E60"/>
    <w:pPr>
      <w:numPr>
        <w:numId w:val="17"/>
      </w:numPr>
      <w:ind w:left="227" w:hanging="227"/>
    </w:pPr>
  </w:style>
  <w:style w:type="paragraph" w:styleId="Header">
    <w:name w:val="header"/>
    <w:basedOn w:val="Normal"/>
    <w:link w:val="HeaderChar"/>
    <w:uiPriority w:val="99"/>
    <w:unhideWhenUsed/>
    <w:rsid w:val="00891199"/>
    <w:pPr>
      <w:pBdr>
        <w:bottom w:val="single" w:sz="4" w:space="4" w:color="004386" w:themeColor="text2"/>
      </w:pBdr>
      <w:tabs>
        <w:tab w:val="right" w:pos="9356"/>
      </w:tabs>
      <w:spacing w:before="0" w:line="240" w:lineRule="auto"/>
      <w:jc w:val="right"/>
    </w:pPr>
    <w:rPr>
      <w:rFonts w:ascii="Tahoma" w:hAnsi="Tahoma" w:cs="Tahoma"/>
      <w:b/>
      <w:color w:val="579305" w:themeColor="accent1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91199"/>
    <w:rPr>
      <w:rFonts w:ascii="Tahoma" w:hAnsi="Tahoma" w:cs="Tahoma"/>
      <w:b/>
      <w:bCs/>
      <w:color w:val="579305" w:themeColor="accent1"/>
      <w:sz w:val="24"/>
      <w:szCs w:val="24"/>
      <w:lang w:val="en-US" w:eastAsia="es-ES"/>
    </w:rPr>
  </w:style>
  <w:style w:type="paragraph" w:styleId="Footer">
    <w:name w:val="footer"/>
    <w:basedOn w:val="Normal"/>
    <w:link w:val="FooterChar"/>
    <w:uiPriority w:val="99"/>
    <w:unhideWhenUsed/>
    <w:rsid w:val="00F51600"/>
    <w:pPr>
      <w:pBdr>
        <w:top w:val="single" w:sz="4" w:space="4" w:color="004386" w:themeColor="text2"/>
      </w:pBdr>
      <w:tabs>
        <w:tab w:val="right" w:pos="9356"/>
      </w:tabs>
      <w:spacing w:before="0" w:line="240" w:lineRule="auto"/>
    </w:pPr>
    <w:rPr>
      <w:rFonts w:ascii="Tahoma" w:hAnsi="Tahoma" w:cs="Tahoma"/>
      <w:color w:val="004386" w:themeColor="text2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51600"/>
    <w:rPr>
      <w:rFonts w:ascii="Tahoma" w:hAnsi="Tahoma" w:cs="Tahoma"/>
      <w:bCs/>
      <w:color w:val="004386" w:themeColor="text2"/>
      <w:sz w:val="18"/>
      <w:szCs w:val="18"/>
      <w:lang w:val="en-US" w:eastAsia="es-ES"/>
    </w:rPr>
  </w:style>
  <w:style w:type="character" w:styleId="PageNumber">
    <w:name w:val="page number"/>
    <w:basedOn w:val="DefaultParagraphFont"/>
    <w:uiPriority w:val="99"/>
    <w:semiHidden/>
    <w:unhideWhenUsed/>
    <w:rsid w:val="00205074"/>
    <w:rPr>
      <w:rFonts w:asciiTheme="minorHAnsi" w:hAnsiTheme="minorHAnsi"/>
    </w:rPr>
  </w:style>
  <w:style w:type="character" w:styleId="FollowedHyperlink">
    <w:name w:val="FollowedHyperlink"/>
    <w:basedOn w:val="DefaultParagraphFont"/>
    <w:uiPriority w:val="99"/>
    <w:semiHidden/>
    <w:unhideWhenUsed/>
    <w:rsid w:val="00205074"/>
    <w:rPr>
      <w:color w:val="004386"/>
      <w:u w:val="single"/>
    </w:rPr>
  </w:style>
  <w:style w:type="paragraph" w:customStyle="1" w:styleId="subbullet">
    <w:name w:val="sub bullet"/>
    <w:aliases w:val="s"/>
    <w:basedOn w:val="Normal"/>
    <w:qFormat/>
    <w:rsid w:val="00DE202F"/>
    <w:pPr>
      <w:numPr>
        <w:numId w:val="19"/>
      </w:numPr>
      <w:ind w:left="568"/>
    </w:pPr>
  </w:style>
  <w:style w:type="character" w:styleId="CommentReference">
    <w:name w:val="annotation reference"/>
    <w:basedOn w:val="DefaultParagraphFont"/>
    <w:uiPriority w:val="99"/>
    <w:semiHidden/>
    <w:unhideWhenUsed/>
    <w:rsid w:val="00BC01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16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16F"/>
    <w:rPr>
      <w:bCs/>
      <w:lang w:val="en-GB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16F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16F"/>
    <w:rPr>
      <w:b/>
      <w:bCs/>
      <w:lang w:val="en-GB" w:eastAsia="es-ES"/>
    </w:rPr>
  </w:style>
  <w:style w:type="paragraph" w:customStyle="1" w:styleId="tablesubbullet">
    <w:name w:val="table sub bullet"/>
    <w:basedOn w:val="tablebullet"/>
    <w:qFormat/>
    <w:rsid w:val="00700081"/>
    <w:pPr>
      <w:keepLines/>
      <w:numPr>
        <w:numId w:val="21"/>
      </w:numPr>
      <w:tabs>
        <w:tab w:val="left" w:pos="284"/>
      </w:tabs>
      <w:ind w:left="454" w:hanging="227"/>
    </w:pPr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phere">
  <a:themeElements>
    <a:clrScheme name="Sphere">
      <a:dk1>
        <a:sysClr val="windowText" lastClr="000000"/>
      </a:dk1>
      <a:lt1>
        <a:sysClr val="window" lastClr="FFFFFF"/>
      </a:lt1>
      <a:dk2>
        <a:srgbClr val="004386"/>
      </a:dk2>
      <a:lt2>
        <a:srgbClr val="87B91D"/>
      </a:lt2>
      <a:accent1>
        <a:srgbClr val="579305"/>
      </a:accent1>
      <a:accent2>
        <a:srgbClr val="C80F3F"/>
      </a:accent2>
      <a:accent3>
        <a:srgbClr val="FBAD18"/>
      </a:accent3>
      <a:accent4>
        <a:srgbClr val="E4028C"/>
      </a:accent4>
      <a:accent5>
        <a:srgbClr val="4BACC6"/>
      </a:accent5>
      <a:accent6>
        <a:srgbClr val="F79646"/>
      </a:accent6>
      <a:hlink>
        <a:srgbClr val="004386"/>
      </a:hlink>
      <a:folHlink>
        <a:srgbClr val="00438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1080</Words>
  <Characters>6159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CeciliaFurtade</cp:lastModifiedBy>
  <cp:revision>5</cp:revision>
  <cp:lastPrinted>2015-01-12T14:16:00Z</cp:lastPrinted>
  <dcterms:created xsi:type="dcterms:W3CDTF">2015-02-04T13:39:00Z</dcterms:created>
  <dcterms:modified xsi:type="dcterms:W3CDTF">2015-03-02T11:34:00Z</dcterms:modified>
</cp:coreProperties>
</file>